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655"/>
        <w:gridCol w:w="1134"/>
        <w:gridCol w:w="709"/>
        <w:gridCol w:w="3556"/>
      </w:tblGrid>
      <w:tr w:rsidR="007D52DD" w:rsidRPr="00080CCB" w:rsidTr="007E7852">
        <w:trPr>
          <w:jc w:val="center"/>
        </w:trPr>
        <w:tc>
          <w:tcPr>
            <w:tcW w:w="9054" w:type="dxa"/>
            <w:gridSpan w:val="4"/>
            <w:shd w:val="clear" w:color="auto" w:fill="2F5496" w:themeFill="accent5" w:themeFillShade="BF"/>
            <w:vAlign w:val="center"/>
          </w:tcPr>
          <w:p w:rsidR="007D52DD" w:rsidRPr="00410A0A" w:rsidRDefault="007D52DD" w:rsidP="00305B43">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B46ADF">
        <w:trPr>
          <w:jc w:val="center"/>
        </w:trPr>
        <w:tc>
          <w:tcPr>
            <w:tcW w:w="4788"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6"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7E7852">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6E11AE">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1C1D16" w:rsidRPr="00410A0A" w:rsidRDefault="006E11AE" w:rsidP="006E11A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7E7852">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7E7852">
        <w:trPr>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66"/>
              <w:gridCol w:w="2864"/>
              <w:gridCol w:w="973"/>
              <w:gridCol w:w="559"/>
              <w:gridCol w:w="2903"/>
              <w:gridCol w:w="973"/>
            </w:tblGrid>
            <w:tr w:rsidR="000B3A7F" w:rsidRPr="000B3A7F" w:rsidTr="000B3A7F">
              <w:trPr>
                <w:trHeight w:val="300"/>
              </w:trPr>
              <w:tc>
                <w:tcPr>
                  <w:tcW w:w="566"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864"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305B43">
                  <w:pPr>
                    <w:jc w:val="center"/>
                    <w:rPr>
                      <w:rFonts w:ascii="Calibri" w:hAnsi="Calibri" w:cs="Calibri"/>
                      <w:sz w:val="18"/>
                      <w:szCs w:val="18"/>
                      <w:lang w:val="es-EC" w:eastAsia="es-EC"/>
                    </w:rPr>
                  </w:pPr>
                  <w:r w:rsidRPr="000B3A7F">
                    <w:rPr>
                      <w:rFonts w:ascii="Calibri" w:hAnsi="Calibri" w:cs="Calibri"/>
                      <w:sz w:val="18"/>
                      <w:szCs w:val="18"/>
                      <w:lang w:val="es-EC" w:eastAsia="es-EC"/>
                    </w:rPr>
                    <w:t>V</w:t>
                  </w:r>
                  <w:r w:rsidR="00305B43">
                    <w:rPr>
                      <w:rFonts w:ascii="Calibri" w:hAnsi="Calibri" w:cs="Calibri"/>
                      <w:sz w:val="18"/>
                      <w:szCs w:val="18"/>
                      <w:lang w:val="es-EC" w:eastAsia="es-EC"/>
                    </w:rPr>
                    <w:t>ariación de activos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c>
                <w:tcPr>
                  <w:tcW w:w="559"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903" w:type="dxa"/>
                  <w:tcBorders>
                    <w:top w:val="single" w:sz="4" w:space="0" w:color="auto"/>
                    <w:left w:val="nil"/>
                    <w:bottom w:val="single" w:sz="4" w:space="0" w:color="auto"/>
                    <w:right w:val="nil"/>
                  </w:tcBorders>
                  <w:shd w:val="clear" w:color="auto" w:fill="auto"/>
                  <w:noWrap/>
                  <w:vAlign w:val="center"/>
                  <w:hideMark/>
                </w:tcPr>
                <w:p w:rsidR="000B3A7F" w:rsidRPr="000B3A7F" w:rsidRDefault="00305B43" w:rsidP="00305B43">
                  <w:pPr>
                    <w:jc w:val="center"/>
                    <w:rPr>
                      <w:rFonts w:ascii="Calibri" w:hAnsi="Calibri" w:cs="Calibri"/>
                      <w:sz w:val="18"/>
                      <w:szCs w:val="18"/>
                      <w:lang w:val="es-EC" w:eastAsia="es-EC"/>
                    </w:rPr>
                  </w:pPr>
                  <w:r>
                    <w:rPr>
                      <w:rFonts w:ascii="Calibri" w:hAnsi="Calibri" w:cs="Calibri"/>
                      <w:sz w:val="18"/>
                      <w:szCs w:val="18"/>
                      <w:lang w:val="es-EC" w:eastAsia="es-EC"/>
                    </w:rPr>
                    <w:t>Variación de pasivos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r>
            <w:tr w:rsidR="00546ACE" w:rsidRPr="000B3A7F" w:rsidTr="00305B43">
              <w:trPr>
                <w:trHeight w:val="3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P.51b </w:t>
                  </w:r>
                </w:p>
              </w:tc>
              <w:tc>
                <w:tcPr>
                  <w:tcW w:w="2864"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Formación bruta de capital fijo</w:t>
                  </w:r>
                </w:p>
              </w:tc>
              <w:tc>
                <w:tcPr>
                  <w:tcW w:w="973" w:type="dxa"/>
                  <w:tcBorders>
                    <w:top w:val="nil"/>
                    <w:left w:val="nil"/>
                    <w:bottom w:val="nil"/>
                    <w:right w:val="single" w:sz="4" w:space="0" w:color="auto"/>
                  </w:tcBorders>
                  <w:shd w:val="clear" w:color="auto" w:fill="auto"/>
                  <w:noWrap/>
                  <w:hideMark/>
                </w:tcPr>
                <w:p w:rsidR="00546ACE" w:rsidRPr="00546ACE" w:rsidRDefault="00546ACE">
                  <w:pPr>
                    <w:jc w:val="right"/>
                    <w:rPr>
                      <w:rFonts w:ascii="Calibri" w:hAnsi="Calibri"/>
                      <w:color w:val="000000"/>
                      <w:sz w:val="18"/>
                      <w:szCs w:val="22"/>
                    </w:rPr>
                  </w:pPr>
                  <w:r w:rsidRPr="00546ACE">
                    <w:rPr>
                      <w:rFonts w:ascii="Calibri" w:hAnsi="Calibri"/>
                      <w:color w:val="000000"/>
                      <w:sz w:val="18"/>
                      <w:szCs w:val="22"/>
                    </w:rPr>
                    <w:t>26.840</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B.8n</w:t>
                  </w: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Ahorro neto</w:t>
                  </w:r>
                </w:p>
              </w:tc>
              <w:tc>
                <w:tcPr>
                  <w:tcW w:w="973" w:type="dxa"/>
                  <w:tcBorders>
                    <w:top w:val="nil"/>
                    <w:left w:val="nil"/>
                    <w:bottom w:val="nil"/>
                    <w:right w:val="nil"/>
                  </w:tcBorders>
                  <w:shd w:val="clear" w:color="auto" w:fill="auto"/>
                  <w:noWrap/>
                  <w:hideMark/>
                </w:tcPr>
                <w:p w:rsidR="00546ACE" w:rsidRPr="00546ACE" w:rsidRDefault="00546ACE">
                  <w:pPr>
                    <w:jc w:val="right"/>
                    <w:rPr>
                      <w:rFonts w:ascii="Calibri" w:hAnsi="Calibri"/>
                      <w:color w:val="000000"/>
                      <w:sz w:val="18"/>
                      <w:szCs w:val="22"/>
                    </w:rPr>
                  </w:pPr>
                  <w:r w:rsidRPr="00546ACE">
                    <w:rPr>
                      <w:rFonts w:ascii="Calibri" w:hAnsi="Calibri"/>
                      <w:color w:val="000000"/>
                      <w:sz w:val="18"/>
                      <w:szCs w:val="22"/>
                    </w:rPr>
                    <w:t>-347.186</w:t>
                  </w:r>
                </w:p>
              </w:tc>
            </w:tr>
            <w:tr w:rsidR="00546ACE" w:rsidRPr="000B3A7F" w:rsidTr="00305B43">
              <w:trPr>
                <w:trHeight w:val="3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P.51c </w:t>
                  </w:r>
                </w:p>
              </w:tc>
              <w:tc>
                <w:tcPr>
                  <w:tcW w:w="2864"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Consumo de capital fijo (-)</w:t>
                  </w:r>
                </w:p>
              </w:tc>
              <w:tc>
                <w:tcPr>
                  <w:tcW w:w="973" w:type="dxa"/>
                  <w:tcBorders>
                    <w:top w:val="nil"/>
                    <w:left w:val="nil"/>
                    <w:bottom w:val="nil"/>
                    <w:right w:val="single" w:sz="4" w:space="0" w:color="auto"/>
                  </w:tcBorders>
                  <w:shd w:val="clear" w:color="auto" w:fill="auto"/>
                  <w:noWrap/>
                  <w:hideMark/>
                </w:tcPr>
                <w:p w:rsidR="00546ACE" w:rsidRPr="00546ACE" w:rsidRDefault="00546ACE">
                  <w:pPr>
                    <w:jc w:val="right"/>
                    <w:rPr>
                      <w:rFonts w:ascii="Calibri" w:hAnsi="Calibri"/>
                      <w:color w:val="000000"/>
                      <w:sz w:val="18"/>
                      <w:szCs w:val="22"/>
                    </w:rPr>
                  </w:pPr>
                  <w:r w:rsidRPr="00546ACE">
                    <w:rPr>
                      <w:rFonts w:ascii="Calibri" w:hAnsi="Calibri"/>
                      <w:color w:val="000000"/>
                      <w:sz w:val="18"/>
                      <w:szCs w:val="22"/>
                    </w:rPr>
                    <w:t>852</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D.9r </w:t>
                  </w: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recibidas</w:t>
                  </w:r>
                </w:p>
              </w:tc>
              <w:tc>
                <w:tcPr>
                  <w:tcW w:w="973" w:type="dxa"/>
                  <w:tcBorders>
                    <w:top w:val="nil"/>
                    <w:left w:val="nil"/>
                    <w:bottom w:val="nil"/>
                    <w:right w:val="nil"/>
                  </w:tcBorders>
                  <w:shd w:val="clear" w:color="auto" w:fill="auto"/>
                  <w:noWrap/>
                </w:tcPr>
                <w:p w:rsidR="00546ACE" w:rsidRPr="00546ACE" w:rsidRDefault="00E6522F">
                  <w:pPr>
                    <w:jc w:val="right"/>
                    <w:rPr>
                      <w:rFonts w:ascii="Calibri" w:hAnsi="Calibri"/>
                      <w:color w:val="000000"/>
                      <w:sz w:val="18"/>
                      <w:szCs w:val="22"/>
                    </w:rPr>
                  </w:pPr>
                  <w:r>
                    <w:rPr>
                      <w:rFonts w:ascii="Calibri" w:hAnsi="Calibri"/>
                      <w:color w:val="000000"/>
                      <w:sz w:val="18"/>
                      <w:szCs w:val="22"/>
                    </w:rPr>
                    <w:t>0</w:t>
                  </w:r>
                </w:p>
              </w:tc>
            </w:tr>
            <w:tr w:rsidR="00546ACE" w:rsidRPr="000B3A7F" w:rsidTr="00305B43">
              <w:trPr>
                <w:trHeight w:val="3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P.52</w:t>
                  </w:r>
                </w:p>
              </w:tc>
              <w:tc>
                <w:tcPr>
                  <w:tcW w:w="2864"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Variaciones de existencias</w:t>
                  </w:r>
                </w:p>
              </w:tc>
              <w:tc>
                <w:tcPr>
                  <w:tcW w:w="973" w:type="dxa"/>
                  <w:tcBorders>
                    <w:top w:val="nil"/>
                    <w:left w:val="nil"/>
                    <w:bottom w:val="nil"/>
                    <w:right w:val="single" w:sz="4" w:space="0" w:color="auto"/>
                  </w:tcBorders>
                  <w:shd w:val="clear" w:color="auto" w:fill="auto"/>
                  <w:noWrap/>
                  <w:hideMark/>
                </w:tcPr>
                <w:p w:rsidR="00546ACE" w:rsidRPr="00546ACE" w:rsidRDefault="00546ACE">
                  <w:pPr>
                    <w:rPr>
                      <w:rFonts w:ascii="Calibri" w:hAnsi="Calibri"/>
                      <w:color w:val="000000"/>
                      <w:sz w:val="18"/>
                      <w:szCs w:val="22"/>
                    </w:rPr>
                  </w:pPr>
                  <w:r w:rsidRPr="00546ACE">
                    <w:rPr>
                      <w:rFonts w:ascii="Calibri" w:hAnsi="Calibri"/>
                      <w:color w:val="000000"/>
                      <w:sz w:val="18"/>
                      <w:szCs w:val="22"/>
                    </w:rPr>
                    <w:t> </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D.9p </w:t>
                  </w: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pagadas (-)</w:t>
                  </w:r>
                </w:p>
              </w:tc>
              <w:tc>
                <w:tcPr>
                  <w:tcW w:w="973" w:type="dxa"/>
                  <w:tcBorders>
                    <w:top w:val="nil"/>
                    <w:left w:val="nil"/>
                    <w:bottom w:val="nil"/>
                    <w:right w:val="nil"/>
                  </w:tcBorders>
                  <w:shd w:val="clear" w:color="auto" w:fill="auto"/>
                  <w:noWrap/>
                </w:tcPr>
                <w:p w:rsidR="00546ACE" w:rsidRPr="00546ACE" w:rsidRDefault="00E6522F">
                  <w:pPr>
                    <w:jc w:val="right"/>
                    <w:rPr>
                      <w:rFonts w:ascii="Calibri" w:hAnsi="Calibri"/>
                      <w:color w:val="000000"/>
                      <w:sz w:val="18"/>
                      <w:szCs w:val="22"/>
                    </w:rPr>
                  </w:pPr>
                  <w:r>
                    <w:rPr>
                      <w:rFonts w:ascii="Calibri" w:hAnsi="Calibri"/>
                      <w:color w:val="000000"/>
                      <w:sz w:val="18"/>
                      <w:szCs w:val="22"/>
                    </w:rPr>
                    <w:t>0</w:t>
                  </w:r>
                </w:p>
              </w:tc>
            </w:tr>
            <w:tr w:rsidR="00546ACE" w:rsidRPr="000B3A7F" w:rsidTr="00305B43">
              <w:trPr>
                <w:trHeight w:val="3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P.53 </w:t>
                  </w:r>
                </w:p>
              </w:tc>
              <w:tc>
                <w:tcPr>
                  <w:tcW w:w="2864"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Adquisiciones menos disposiciones de objetos valiosos</w:t>
                  </w:r>
                </w:p>
              </w:tc>
              <w:tc>
                <w:tcPr>
                  <w:tcW w:w="973" w:type="dxa"/>
                  <w:tcBorders>
                    <w:top w:val="nil"/>
                    <w:left w:val="nil"/>
                    <w:bottom w:val="nil"/>
                    <w:right w:val="single" w:sz="4" w:space="0" w:color="auto"/>
                  </w:tcBorders>
                  <w:shd w:val="clear" w:color="auto" w:fill="auto"/>
                  <w:noWrap/>
                  <w:hideMark/>
                </w:tcPr>
                <w:p w:rsidR="00546ACE" w:rsidRPr="00546ACE" w:rsidRDefault="00546ACE">
                  <w:pPr>
                    <w:rPr>
                      <w:rFonts w:ascii="Calibri" w:hAnsi="Calibri"/>
                      <w:color w:val="000000"/>
                      <w:sz w:val="18"/>
                      <w:szCs w:val="22"/>
                    </w:rPr>
                  </w:pPr>
                  <w:r w:rsidRPr="00546ACE">
                    <w:rPr>
                      <w:rFonts w:ascii="Calibri" w:hAnsi="Calibri"/>
                      <w:color w:val="000000"/>
                      <w:sz w:val="18"/>
                      <w:szCs w:val="22"/>
                    </w:rPr>
                    <w:t> </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r>
            <w:tr w:rsidR="00546ACE" w:rsidRPr="000B3A7F" w:rsidTr="00305B43">
              <w:trPr>
                <w:trHeight w:val="6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NP</w:t>
                  </w:r>
                </w:p>
              </w:tc>
              <w:tc>
                <w:tcPr>
                  <w:tcW w:w="2864" w:type="dxa"/>
                  <w:tcBorders>
                    <w:top w:val="nil"/>
                    <w:left w:val="nil"/>
                    <w:bottom w:val="nil"/>
                    <w:right w:val="nil"/>
                  </w:tcBorders>
                  <w:shd w:val="clear" w:color="auto" w:fill="auto"/>
                  <w:hideMark/>
                </w:tcPr>
                <w:p w:rsidR="00546ACE" w:rsidRPr="000B3A7F" w:rsidRDefault="00546ACE" w:rsidP="000B3A7F">
                  <w:pPr>
                    <w:rPr>
                      <w:rFonts w:ascii="Calibri" w:hAnsi="Calibri" w:cs="Calibri"/>
                      <w:sz w:val="18"/>
                      <w:szCs w:val="18"/>
                      <w:lang w:val="es-EC" w:eastAsia="es-EC"/>
                    </w:rPr>
                  </w:pPr>
                  <w:r w:rsidRPr="000B3A7F">
                    <w:rPr>
                      <w:rFonts w:ascii="Calibri" w:hAnsi="Calibri" w:cs="Calibri"/>
                      <w:sz w:val="18"/>
                      <w:szCs w:val="18"/>
                      <w:lang w:val="es-EC" w:eastAsia="es-EC"/>
                    </w:rPr>
                    <w:t>Adquisición menos disposiciones de activos no financieros no producidos</w:t>
                  </w:r>
                </w:p>
              </w:tc>
              <w:tc>
                <w:tcPr>
                  <w:tcW w:w="973" w:type="dxa"/>
                  <w:tcBorders>
                    <w:top w:val="nil"/>
                    <w:left w:val="nil"/>
                    <w:bottom w:val="nil"/>
                    <w:right w:val="single" w:sz="4" w:space="0" w:color="auto"/>
                  </w:tcBorders>
                  <w:shd w:val="clear" w:color="auto" w:fill="auto"/>
                  <w:noWrap/>
                  <w:hideMark/>
                </w:tcPr>
                <w:p w:rsidR="00546ACE" w:rsidRPr="00546ACE" w:rsidRDefault="00546ACE">
                  <w:pPr>
                    <w:rPr>
                      <w:rFonts w:ascii="Calibri" w:hAnsi="Calibri"/>
                      <w:color w:val="000000"/>
                      <w:sz w:val="18"/>
                      <w:szCs w:val="22"/>
                    </w:rPr>
                  </w:pPr>
                  <w:r w:rsidRPr="00546ACE">
                    <w:rPr>
                      <w:rFonts w:ascii="Calibri" w:hAnsi="Calibri"/>
                      <w:color w:val="000000"/>
                      <w:sz w:val="18"/>
                      <w:szCs w:val="22"/>
                    </w:rPr>
                    <w:t> </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sz w:val="18"/>
                      <w:szCs w:val="18"/>
                      <w:lang w:val="es-EC" w:eastAsia="es-EC"/>
                    </w:rPr>
                  </w:pPr>
                </w:p>
              </w:tc>
            </w:tr>
            <w:tr w:rsidR="00546ACE" w:rsidRPr="000B3A7F" w:rsidTr="00305B43">
              <w:trPr>
                <w:trHeight w:val="300"/>
              </w:trPr>
              <w:tc>
                <w:tcPr>
                  <w:tcW w:w="566"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B.9 </w:t>
                  </w:r>
                </w:p>
              </w:tc>
              <w:tc>
                <w:tcPr>
                  <w:tcW w:w="2864"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Préstamo neto / endeudamiento neto</w:t>
                  </w:r>
                </w:p>
              </w:tc>
              <w:tc>
                <w:tcPr>
                  <w:tcW w:w="973" w:type="dxa"/>
                  <w:tcBorders>
                    <w:top w:val="nil"/>
                    <w:left w:val="nil"/>
                    <w:bottom w:val="nil"/>
                    <w:right w:val="single" w:sz="4" w:space="0" w:color="auto"/>
                  </w:tcBorders>
                  <w:shd w:val="clear" w:color="auto" w:fill="auto"/>
                  <w:noWrap/>
                  <w:hideMark/>
                </w:tcPr>
                <w:p w:rsidR="00546ACE" w:rsidRPr="00546ACE" w:rsidRDefault="00546ACE">
                  <w:pPr>
                    <w:jc w:val="right"/>
                    <w:rPr>
                      <w:rFonts w:ascii="Calibri" w:hAnsi="Calibri"/>
                      <w:b/>
                      <w:bCs/>
                      <w:color w:val="000000"/>
                      <w:sz w:val="18"/>
                      <w:szCs w:val="22"/>
                    </w:rPr>
                  </w:pPr>
                  <w:r w:rsidRPr="00546ACE">
                    <w:rPr>
                      <w:rFonts w:ascii="Calibri" w:hAnsi="Calibri"/>
                      <w:b/>
                      <w:bCs/>
                      <w:color w:val="000000"/>
                      <w:sz w:val="18"/>
                      <w:szCs w:val="22"/>
                    </w:rPr>
                    <w:t>-373.174</w:t>
                  </w:r>
                </w:p>
              </w:tc>
              <w:tc>
                <w:tcPr>
                  <w:tcW w:w="559"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color w:val="000000"/>
                      <w:sz w:val="18"/>
                      <w:szCs w:val="18"/>
                      <w:lang w:val="es-EC" w:eastAsia="es-EC"/>
                    </w:rPr>
                  </w:pPr>
                </w:p>
              </w:tc>
              <w:tc>
                <w:tcPr>
                  <w:tcW w:w="290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color w:val="000000"/>
                      <w:sz w:val="18"/>
                      <w:szCs w:val="18"/>
                      <w:lang w:val="es-EC" w:eastAsia="es-EC"/>
                    </w:rPr>
                  </w:pPr>
                </w:p>
              </w:tc>
              <w:tc>
                <w:tcPr>
                  <w:tcW w:w="973" w:type="dxa"/>
                  <w:tcBorders>
                    <w:top w:val="nil"/>
                    <w:left w:val="nil"/>
                    <w:bottom w:val="nil"/>
                    <w:right w:val="nil"/>
                  </w:tcBorders>
                  <w:shd w:val="clear" w:color="auto" w:fill="auto"/>
                  <w:noWrap/>
                  <w:hideMark/>
                </w:tcPr>
                <w:p w:rsidR="00546ACE" w:rsidRPr="000B3A7F" w:rsidRDefault="00546ACE" w:rsidP="000B3A7F">
                  <w:pPr>
                    <w:rPr>
                      <w:rFonts w:ascii="Calibri" w:hAnsi="Calibri" w:cs="Calibri"/>
                      <w:color w:val="000000"/>
                      <w:sz w:val="18"/>
                      <w:szCs w:val="18"/>
                      <w:lang w:val="es-EC" w:eastAsia="es-EC"/>
                    </w:rPr>
                  </w:pPr>
                </w:p>
              </w:tc>
            </w:tr>
          </w:tbl>
          <w:p w:rsidR="00454593" w:rsidRDefault="00454593" w:rsidP="009036BF">
            <w:pPr>
              <w:spacing w:before="120" w:after="120"/>
              <w:jc w:val="both"/>
              <w:rPr>
                <w:rFonts w:asciiTheme="minorHAnsi" w:eastAsiaTheme="minorHAnsi" w:hAnsiTheme="minorHAnsi" w:cs="Arial"/>
                <w:b/>
                <w:bCs/>
                <w:color w:val="000000"/>
                <w:szCs w:val="22"/>
              </w:rPr>
            </w:pPr>
          </w:p>
          <w:p w:rsidR="006C10D8" w:rsidRPr="00410A0A" w:rsidRDefault="006C10D8" w:rsidP="009036BF">
            <w:pPr>
              <w:spacing w:before="120" w:after="120"/>
              <w:jc w:val="both"/>
              <w:rPr>
                <w:rFonts w:asciiTheme="minorHAnsi" w:eastAsiaTheme="minorHAnsi" w:hAnsiTheme="minorHAnsi" w:cs="Arial"/>
                <w:b/>
                <w:bCs/>
                <w:color w:val="000000"/>
                <w:szCs w:val="22"/>
              </w:rPr>
            </w:pPr>
          </w:p>
        </w:tc>
      </w:tr>
      <w:tr w:rsidR="00935CAD" w:rsidRPr="00080CCB" w:rsidTr="007E7852">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7E7852">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7E7852">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lastRenderedPageBreak/>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BB0EEC">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7E7852">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0B3A7F">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D.9r=</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D.92r y D.99r</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0B3A7F">
        <w:trPr>
          <w:jc w:val="center"/>
        </w:trPr>
        <w:tc>
          <w:tcPr>
            <w:tcW w:w="9054" w:type="dxa"/>
            <w:gridSpan w:val="4"/>
            <w:shd w:val="clear" w:color="auto" w:fill="auto"/>
            <w:vAlign w:val="center"/>
          </w:tcPr>
          <w:p w:rsidR="000B3A7F" w:rsidRPr="008020C1" w:rsidRDefault="004E034B" w:rsidP="004E034B">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D.9p=</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D.92p y D.99p</m:t>
                    </m:r>
                  </m:e>
                </m:nary>
              </m:oMath>
            </m:oMathPara>
          </w:p>
        </w:tc>
      </w:tr>
      <w:tr w:rsidR="000B3A7F" w:rsidRPr="00080CCB" w:rsidTr="007E7852">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0B3A7F">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  correspondientes a P.51</m:t>
                    </m:r>
                  </m:e>
                </m:nary>
              </m:oMath>
            </m:oMathPara>
          </w:p>
          <w:p w:rsidR="00675E9A" w:rsidRDefault="00675E9A" w:rsidP="00EC2629">
            <w:pPr>
              <w:shd w:val="clear" w:color="auto" w:fill="FFFFFF" w:themeFill="background1"/>
              <w:spacing w:before="120" w:after="120"/>
              <w:jc w:val="center"/>
              <w:rPr>
                <w:b/>
                <w:color w:val="000000"/>
                <w:szCs w:val="22"/>
              </w:rPr>
            </w:pPr>
            <m:oMathPara>
              <m:oMath>
                <m:r>
                  <w:rPr>
                    <w:rFonts w:ascii="Cambria Math" w:hAnsi="Cambria Math" w:cs="Arial"/>
                    <w:sz w:val="20"/>
                    <w:szCs w:val="22"/>
                    <w:lang w:val="es-PE"/>
                  </w:rPr>
                  <m:t>P.51b=</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ingresos correspondientes a P.51</m:t>
                    </m:r>
                  </m:e>
                </m:nary>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4944A6" w:rsidRPr="00D21358" w:rsidRDefault="004944A6" w:rsidP="004944A6">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El valore de la P.51 se obtiene de la diferencia de la Formación bruta de capital fijo de ingresos y gastos.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0B3A7F">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La metodología de cálculo para esta variable se la encuentra en la ficha metodológica de Consumo </w:t>
            </w:r>
            <w:r>
              <w:rPr>
                <w:rFonts w:asciiTheme="minorHAnsi" w:eastAsiaTheme="minorHAnsi" w:hAnsiTheme="minorHAnsi" w:cs="Arial"/>
                <w:bCs/>
                <w:color w:val="000000"/>
                <w:szCs w:val="22"/>
              </w:rPr>
              <w:lastRenderedPageBreak/>
              <w:t>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0B3A7F">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lang w:val="es-EC"/>
              </w:rPr>
            </w:pPr>
            <m:oMathPara>
              <m:oMath>
                <m:r>
                  <w:rPr>
                    <w:rFonts w:ascii="Cambria Math" w:hAnsi="Cambria Math" w:cs="Arial"/>
                    <w:sz w:val="20"/>
                    <w:szCs w:val="22"/>
                    <w:lang w:val="es-PE"/>
                  </w:rPr>
                  <m:t>P.52=</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P.52</m:t>
                    </m:r>
                  </m:e>
                </m:nary>
              </m:oMath>
            </m:oMathPara>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0B3A7F">
        <w:trPr>
          <w:jc w:val="center"/>
        </w:trPr>
        <w:tc>
          <w:tcPr>
            <w:tcW w:w="9054" w:type="dxa"/>
            <w:gridSpan w:val="4"/>
            <w:shd w:val="clear" w:color="auto" w:fill="auto"/>
            <w:vAlign w:val="center"/>
          </w:tcPr>
          <w:p w:rsidR="000B3A7F" w:rsidRPr="008020C1" w:rsidRDefault="00C640EC" w:rsidP="00C640EC">
            <w:pPr>
              <w:spacing w:before="120" w:after="120"/>
              <w:jc w:val="both"/>
              <w:rPr>
                <w:rFonts w:asciiTheme="minorHAnsi" w:eastAsiaTheme="minorHAnsi" w:hAnsiTheme="minorHAnsi" w:cs="Arial"/>
                <w:bCs/>
                <w:color w:val="000000"/>
                <w:szCs w:val="22"/>
              </w:rPr>
            </w:pPr>
            <m:oMathPara>
              <m:oMath>
                <m:r>
                  <w:rPr>
                    <w:rFonts w:ascii="Cambria Math" w:hAnsi="Cambria Math" w:cs="Arial"/>
                    <w:sz w:val="20"/>
                    <w:szCs w:val="22"/>
                    <w:lang w:val="es-PE"/>
                  </w:rPr>
                  <m:t>P.53=</m:t>
                </m:r>
                <m:nary>
                  <m:naryPr>
                    <m:chr m:val="∑"/>
                    <m:limLoc m:val="undOvr"/>
                    <m:subHide m:val="1"/>
                    <m:supHide m:val="1"/>
                    <m:ctrlPr>
                      <w:rPr>
                        <w:rFonts w:ascii="Cambria Math" w:hAnsi="Cambria Math" w:cs="Arial"/>
                        <w:i/>
                        <w:sz w:val="20"/>
                        <w:szCs w:val="22"/>
                        <w:lang w:val="es-PE"/>
                      </w:rPr>
                    </m:ctrlPr>
                  </m:naryPr>
                  <m:sub/>
                  <m:sup/>
                  <m:e>
                    <m:r>
                      <w:rPr>
                        <w:rFonts w:ascii="Cambria Math" w:hAnsi="Cambria Math" w:cs="Arial"/>
                        <w:sz w:val="20"/>
                        <w:szCs w:val="22"/>
                        <w:lang w:val="es-PE"/>
                      </w:rPr>
                      <m:t>Partidas presupuestarias de la base de gastos correspondientes a P.53</m:t>
                    </m:r>
                  </m:e>
                </m:nary>
              </m:oMath>
            </m:oMathPara>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0B3A7F">
        <w:trPr>
          <w:jc w:val="center"/>
        </w:trPr>
        <w:tc>
          <w:tcPr>
            <w:tcW w:w="9054" w:type="dxa"/>
            <w:gridSpan w:val="4"/>
            <w:shd w:val="clear" w:color="auto" w:fill="auto"/>
            <w:vAlign w:val="center"/>
          </w:tcPr>
          <w:p w:rsidR="000B3A7F" w:rsidRPr="00D0251C" w:rsidRDefault="00B75560" w:rsidP="00D0251C">
            <w:pPr>
              <w:spacing w:before="120" w:after="120"/>
              <w:jc w:val="both"/>
              <w:rPr>
                <w:sz w:val="20"/>
                <w:szCs w:val="22"/>
              </w:rPr>
            </w:pPr>
            <w:r>
              <w:rPr>
                <w:rFonts w:asciiTheme="minorHAnsi" w:eastAsiaTheme="minorHAnsi" w:hAnsiTheme="minorHAnsi" w:cs="Arial"/>
                <w:bCs/>
                <w:color w:val="000000"/>
                <w:szCs w:val="22"/>
              </w:rPr>
              <w:t>No aplica</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0B3A7F">
        <w:trPr>
          <w:jc w:val="center"/>
        </w:trPr>
        <w:tc>
          <w:tcPr>
            <w:tcW w:w="9054" w:type="dxa"/>
            <w:gridSpan w:val="4"/>
            <w:shd w:val="clear" w:color="auto" w:fill="auto"/>
            <w:vAlign w:val="center"/>
          </w:tcPr>
          <w:p w:rsidR="00AF1749" w:rsidRPr="0018477A" w:rsidRDefault="00AA1E3A"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p w:rsidR="006C10D8" w:rsidRDefault="006C10D8" w:rsidP="00E0227D">
            <w:pPr>
              <w:spacing w:before="120" w:after="120"/>
              <w:jc w:val="both"/>
              <w:rPr>
                <w:rFonts w:asciiTheme="minorHAnsi" w:eastAsiaTheme="minorHAnsi" w:hAnsiTheme="minorHAnsi" w:cs="Arial"/>
                <w:bCs/>
                <w:color w:val="000000"/>
                <w:szCs w:val="22"/>
              </w:rPr>
            </w:pPr>
          </w:p>
          <w:p w:rsidR="006C10D8" w:rsidRPr="0025612F" w:rsidRDefault="006C10D8" w:rsidP="00E0227D">
            <w:pPr>
              <w:spacing w:before="120" w:after="120"/>
              <w:jc w:val="both"/>
              <w:rPr>
                <w:rFonts w:asciiTheme="minorHAnsi" w:eastAsiaTheme="minorHAnsi" w:hAnsiTheme="minorHAnsi" w:cs="Arial"/>
                <w:bCs/>
                <w:color w:val="000000"/>
                <w:szCs w:val="22"/>
              </w:rPr>
            </w:pPr>
          </w:p>
        </w:tc>
      </w:tr>
      <w:tr w:rsidR="000B3A7F" w:rsidRPr="00080CCB" w:rsidTr="007E7852">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5. DEFINICIÓN DE LAS VARIABLES RELACIONADAS</w:t>
            </w:r>
          </w:p>
        </w:tc>
      </w:tr>
      <w:tr w:rsidR="00D53653" w:rsidRPr="00080CCB" w:rsidTr="007E7852">
        <w:trPr>
          <w:jc w:val="center"/>
        </w:trPr>
        <w:tc>
          <w:tcPr>
            <w:tcW w:w="9054" w:type="dxa"/>
            <w:gridSpan w:val="4"/>
            <w:vAlign w:val="center"/>
          </w:tcPr>
          <w:p w:rsidR="00D53653" w:rsidRPr="00410A0A" w:rsidRDefault="00D53653" w:rsidP="009036BF">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D53653" w:rsidRPr="0025612F" w:rsidTr="00950549">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44900">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983BC7">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 xml:space="preserve">La formación bruta de capital fijo se mide por el valor total de las adquisiciones menos las disposiciones, de activos fijos efectuadas por el productor durante el período contable más ciertos gastos específicos en servicios que incrementan el valor de los activos no </w:t>
                  </w:r>
                  <w:r w:rsidRPr="00983BC7">
                    <w:rPr>
                      <w:rFonts w:asciiTheme="minorHAnsi" w:hAnsiTheme="minorHAnsi"/>
                      <w:sz w:val="22"/>
                      <w:szCs w:val="22"/>
                    </w:rPr>
                    <w:lastRenderedPageBreak/>
                    <w:t>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18477A">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0B3A7F" w:rsidRPr="0025612F" w:rsidRDefault="0018477A" w:rsidP="0018477A">
                  <w:pPr>
                    <w:spacing w:before="120" w:after="120"/>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2294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4045C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6E11A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7E7852">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950549" w:rsidRPr="00080CCB" w:rsidTr="000966EA">
        <w:trPr>
          <w:jc w:val="center"/>
        </w:trPr>
        <w:tc>
          <w:tcPr>
            <w:tcW w:w="9054" w:type="dxa"/>
            <w:gridSpan w:val="4"/>
            <w:shd w:val="clear" w:color="auto" w:fill="auto"/>
            <w:vAlign w:val="center"/>
          </w:tcPr>
          <w:p w:rsidR="00950549" w:rsidRDefault="00950549" w:rsidP="00770D8D">
            <w:pPr>
              <w:spacing w:before="120" w:after="120"/>
              <w:jc w:val="both"/>
              <w:rPr>
                <w:rFonts w:asciiTheme="minorHAnsi" w:eastAsiaTheme="minorHAnsi" w:hAnsiTheme="minorHAnsi" w:cs="Arial"/>
                <w:bCs/>
                <w:color w:val="000000"/>
                <w:szCs w:val="22"/>
                <w:lang w:val="es-EC"/>
              </w:rPr>
            </w:pPr>
            <w:r w:rsidRPr="00525098">
              <w:rPr>
                <w:rFonts w:asciiTheme="minorHAnsi" w:eastAsiaTheme="minorHAnsi" w:hAnsiTheme="minorHAnsi" w:cs="Arial"/>
                <w:bCs/>
                <w:color w:val="000000"/>
                <w:szCs w:val="22"/>
              </w:rPr>
              <w:t>A</w:t>
            </w:r>
            <w:r w:rsidRPr="006C3CAD">
              <w:rPr>
                <w:rFonts w:asciiTheme="minorHAnsi" w:eastAsiaTheme="minorHAnsi" w:hAnsiTheme="minorHAnsi" w:cs="Arial"/>
                <w:bCs/>
                <w:color w:val="000000"/>
                <w:szCs w:val="22"/>
              </w:rPr>
              <w:t xml:space="preserve"> continuación se detalla el método de cálculo de la Cuenta</w:t>
            </w:r>
            <w:r>
              <w:rPr>
                <w:rFonts w:asciiTheme="minorHAnsi" w:eastAsiaTheme="minorHAnsi" w:hAnsiTheme="minorHAnsi" w:cs="Arial"/>
                <w:bCs/>
                <w:color w:val="000000"/>
                <w:szCs w:val="22"/>
                <w:lang w:val="es-EC"/>
              </w:rPr>
              <w:t xml:space="preserve"> de asignación</w:t>
            </w:r>
            <w:r w:rsidRPr="006C3CAD">
              <w:rPr>
                <w:rFonts w:asciiTheme="minorHAnsi" w:eastAsiaTheme="minorHAnsi" w:hAnsiTheme="minorHAnsi" w:cs="Arial"/>
                <w:bCs/>
                <w:color w:val="000000"/>
                <w:szCs w:val="22"/>
                <w:lang w:val="es-EC"/>
              </w:rPr>
              <w:t xml:space="preserve"> del ingreso, tanto para los recursos y los empleos:</w:t>
            </w:r>
          </w:p>
          <w:p w:rsidR="006C10D8" w:rsidRPr="00566D13" w:rsidRDefault="006C10D8" w:rsidP="00770D8D">
            <w:pPr>
              <w:spacing w:before="120" w:after="120"/>
              <w:jc w:val="both"/>
              <w:rPr>
                <w:rFonts w:asciiTheme="minorHAnsi" w:eastAsiaTheme="minorHAnsi" w:hAnsiTheme="minorHAnsi" w:cs="Arial"/>
                <w:bCs/>
                <w:color w:val="000000"/>
                <w:szCs w:val="22"/>
                <w:lang w:val="es-EC"/>
              </w:rPr>
            </w:pP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lastRenderedPageBreak/>
              <w:t>VARIACIÓN DE PASIVOS</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4C708F">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t>Esta variable es la contrapartida de la II.4.1. Cuenta de Utilización del Ingreso Disponible por parte de los empleos</w:t>
            </w:r>
          </w:p>
          <w:p w:rsidR="004C708F" w:rsidRPr="00A42298" w:rsidRDefault="00A42298" w:rsidP="008D793A">
            <w:pPr>
              <w:spacing w:before="120" w:after="120"/>
              <w:rPr>
                <w:rFonts w:asciiTheme="minorHAnsi" w:eastAsiaTheme="minorHAnsi" w:hAnsiTheme="minorHAnsi" w:cs="Arial"/>
                <w:b/>
                <w:bCs/>
                <w:color w:val="000000"/>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-34</w:t>
            </w:r>
            <w:r w:rsidR="008D793A">
              <w:rPr>
                <w:rFonts w:asciiTheme="minorHAnsi" w:hAnsiTheme="minorHAnsi" w:cs="Tahoma"/>
                <w:iCs/>
                <w:color w:val="000000"/>
                <w:position w:val="-1"/>
                <w:szCs w:val="22"/>
              </w:rPr>
              <w:t>7</w:t>
            </w:r>
            <w:r>
              <w:rPr>
                <w:rFonts w:asciiTheme="minorHAnsi" w:hAnsiTheme="minorHAnsi" w:cs="Tahoma"/>
                <w:iCs/>
                <w:color w:val="000000"/>
                <w:position w:val="-1"/>
                <w:szCs w:val="22"/>
              </w:rPr>
              <w:t>.</w:t>
            </w:r>
            <w:r w:rsidR="008D793A">
              <w:rPr>
                <w:rFonts w:asciiTheme="minorHAnsi" w:hAnsiTheme="minorHAnsi" w:cs="Tahoma"/>
                <w:iCs/>
                <w:color w:val="000000"/>
                <w:position w:val="-1"/>
                <w:szCs w:val="22"/>
              </w:rPr>
              <w:t>186</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4C708F">
        <w:trPr>
          <w:jc w:val="center"/>
        </w:trPr>
        <w:tc>
          <w:tcPr>
            <w:tcW w:w="9054" w:type="dxa"/>
            <w:gridSpan w:val="4"/>
            <w:shd w:val="clear" w:color="auto" w:fill="auto"/>
            <w:vAlign w:val="center"/>
          </w:tcPr>
          <w:p w:rsidR="000E5BF3" w:rsidRDefault="000E5BF3" w:rsidP="000E5BF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0E5BF3"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D.9r = 0</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4C708F">
        <w:trPr>
          <w:jc w:val="center"/>
        </w:trPr>
        <w:tc>
          <w:tcPr>
            <w:tcW w:w="9054" w:type="dxa"/>
            <w:gridSpan w:val="4"/>
            <w:shd w:val="clear" w:color="auto" w:fill="auto"/>
            <w:vAlign w:val="center"/>
          </w:tcPr>
          <w:p w:rsidR="000E5BF3" w:rsidRDefault="000E5BF3" w:rsidP="000E5BF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0E5BF3"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D.9p = 0</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4C708F">
        <w:trPr>
          <w:jc w:val="center"/>
        </w:trPr>
        <w:tc>
          <w:tcPr>
            <w:tcW w:w="9054" w:type="dxa"/>
            <w:gridSpan w:val="4"/>
            <w:shd w:val="clear" w:color="auto" w:fill="auto"/>
            <w:vAlign w:val="center"/>
          </w:tcPr>
          <w:p w:rsidR="00D914BC" w:rsidRPr="00D914BC" w:rsidRDefault="00D914BC" w:rsidP="00D914BC">
            <w:pPr>
              <w:spacing w:before="120" w:after="120"/>
              <w:jc w:val="both"/>
              <w:rPr>
                <w:rFonts w:asciiTheme="minorHAnsi" w:hAnsiTheme="minorHAnsi" w:cs="Arial"/>
                <w:b/>
                <w:szCs w:val="22"/>
              </w:rPr>
            </w:pPr>
            <w:r w:rsidRPr="00D914BC">
              <w:rPr>
                <w:rFonts w:asciiTheme="minorHAnsi" w:hAnsiTheme="minorHAnsi" w:cs="Arial"/>
                <w:b/>
                <w:szCs w:val="22"/>
              </w:rPr>
              <w:t>INGRESOS:</w:t>
            </w:r>
          </w:p>
          <w:p w:rsidR="00D914BC" w:rsidRDefault="00D914BC" w:rsidP="00D914BC">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w:t>
            </w:r>
            <w:r w:rsidR="00EC19FB">
              <w:rPr>
                <w:rFonts w:asciiTheme="minorHAnsi" w:hAnsiTheme="minorHAnsi" w:cs="Arial"/>
                <w:szCs w:val="22"/>
              </w:rPr>
              <w:t>l ingreso</w:t>
            </w:r>
            <w:r>
              <w:rPr>
                <w:rFonts w:asciiTheme="minorHAnsi" w:hAnsiTheme="minorHAnsi" w:cs="Arial"/>
                <w:szCs w:val="22"/>
              </w:rPr>
              <w:t xml:space="preserve"> de acuerdo al catálogo de cuentas nacionales,  se filtra todas las variables correspondientes a la P.51 obteniendo un total como se observa en el siguiente cuadro:</w:t>
            </w:r>
          </w:p>
          <w:tbl>
            <w:tblPr>
              <w:tblStyle w:val="Tablaconcuadrcula"/>
              <w:tblW w:w="8835" w:type="dxa"/>
              <w:tblLook w:val="04A0" w:firstRow="1" w:lastRow="0" w:firstColumn="1" w:lastColumn="0" w:noHBand="0" w:noVBand="1"/>
            </w:tblPr>
            <w:tblGrid>
              <w:gridCol w:w="1271"/>
              <w:gridCol w:w="1276"/>
              <w:gridCol w:w="4252"/>
              <w:gridCol w:w="2036"/>
            </w:tblGrid>
            <w:tr w:rsidR="00D914BC" w:rsidTr="008A157A">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Partida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Cód. CN</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Detalle</w:t>
                  </w:r>
                </w:p>
              </w:tc>
              <w:tc>
                <w:tcPr>
                  <w:tcW w:w="2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Valor devengado</w:t>
                  </w:r>
                </w:p>
              </w:tc>
            </w:tr>
            <w:tr w:rsidR="00EC19FB" w:rsidTr="008A157A">
              <w:tc>
                <w:tcPr>
                  <w:tcW w:w="1271" w:type="dxa"/>
                  <w:tcBorders>
                    <w:top w:val="single" w:sz="4" w:space="0" w:color="auto"/>
                    <w:left w:val="single" w:sz="4" w:space="0" w:color="auto"/>
                    <w:bottom w:val="single" w:sz="4" w:space="0" w:color="auto"/>
                    <w:right w:val="single" w:sz="4" w:space="0" w:color="auto"/>
                  </w:tcBorders>
                  <w:vAlign w:val="center"/>
                </w:tcPr>
                <w:p w:rsidR="00EC19FB" w:rsidRDefault="00EC19FB" w:rsidP="00482260">
                  <w:pPr>
                    <w:jc w:val="center"/>
                    <w:rPr>
                      <w:rFonts w:ascii="Calibri" w:hAnsi="Calibri" w:cs="Calibri"/>
                      <w:color w:val="000000"/>
                      <w:szCs w:val="22"/>
                    </w:rPr>
                  </w:pPr>
                  <w:r>
                    <w:rPr>
                      <w:rFonts w:ascii="Calibri" w:hAnsi="Calibri" w:cs="Calibri"/>
                      <w:color w:val="000000"/>
                      <w:szCs w:val="22"/>
                    </w:rPr>
                    <w:t>240202</w:t>
                  </w:r>
                </w:p>
              </w:tc>
              <w:tc>
                <w:tcPr>
                  <w:tcW w:w="1276" w:type="dxa"/>
                  <w:tcBorders>
                    <w:top w:val="single" w:sz="4" w:space="0" w:color="auto"/>
                    <w:left w:val="single" w:sz="4" w:space="0" w:color="auto"/>
                    <w:bottom w:val="single" w:sz="4" w:space="0" w:color="auto"/>
                    <w:right w:val="single" w:sz="4" w:space="0" w:color="auto"/>
                  </w:tcBorders>
                  <w:vAlign w:val="center"/>
                </w:tcPr>
                <w:p w:rsidR="00EC19FB" w:rsidRDefault="00EC19FB" w:rsidP="00482260">
                  <w:pPr>
                    <w:jc w:val="center"/>
                    <w:rPr>
                      <w:rFonts w:ascii="Calibri" w:hAnsi="Calibri" w:cs="Calibri"/>
                      <w:color w:val="000000"/>
                      <w:szCs w:val="22"/>
                    </w:rPr>
                  </w:pPr>
                  <w:r>
                    <w:rPr>
                      <w:rFonts w:ascii="Calibri" w:hAnsi="Calibri" w:cs="Calibri"/>
                      <w:color w:val="000000"/>
                      <w:szCs w:val="22"/>
                    </w:rPr>
                    <w:t>P</w:t>
                  </w:r>
                  <w:r w:rsidR="00950549">
                    <w:rPr>
                      <w:rFonts w:ascii="Calibri" w:hAnsi="Calibri" w:cs="Calibri"/>
                      <w:color w:val="000000"/>
                      <w:szCs w:val="22"/>
                    </w:rPr>
                    <w:t>.</w:t>
                  </w:r>
                  <w:r>
                    <w:rPr>
                      <w:rFonts w:ascii="Calibri" w:hAnsi="Calibri" w:cs="Calibri"/>
                      <w:color w:val="000000"/>
                      <w:szCs w:val="22"/>
                    </w:rPr>
                    <w:t>51</w:t>
                  </w:r>
                </w:p>
              </w:tc>
              <w:tc>
                <w:tcPr>
                  <w:tcW w:w="4252" w:type="dxa"/>
                  <w:tcBorders>
                    <w:top w:val="single" w:sz="4" w:space="0" w:color="auto"/>
                    <w:left w:val="single" w:sz="4" w:space="0" w:color="auto"/>
                    <w:bottom w:val="single" w:sz="4" w:space="0" w:color="auto"/>
                    <w:right w:val="single" w:sz="4" w:space="0" w:color="auto"/>
                  </w:tcBorders>
                  <w:vAlign w:val="center"/>
                </w:tcPr>
                <w:p w:rsidR="00EC19FB" w:rsidRDefault="00EC19FB" w:rsidP="00482260">
                  <w:pPr>
                    <w:jc w:val="center"/>
                    <w:rPr>
                      <w:rFonts w:ascii="Calibri" w:hAnsi="Calibri" w:cs="Calibri"/>
                      <w:color w:val="000000"/>
                      <w:szCs w:val="22"/>
                    </w:rPr>
                  </w:pPr>
                  <w:r>
                    <w:rPr>
                      <w:rFonts w:ascii="Calibri" w:hAnsi="Calibri" w:cs="Calibri"/>
                      <w:color w:val="000000"/>
                      <w:szCs w:val="22"/>
                    </w:rPr>
                    <w:t>EDIFICIOS LOCALES Y RESIDENCIAS</w:t>
                  </w:r>
                </w:p>
              </w:tc>
              <w:tc>
                <w:tcPr>
                  <w:tcW w:w="2036" w:type="dxa"/>
                  <w:tcBorders>
                    <w:top w:val="single" w:sz="4" w:space="0" w:color="auto"/>
                    <w:left w:val="single" w:sz="4" w:space="0" w:color="auto"/>
                    <w:bottom w:val="single" w:sz="4" w:space="0" w:color="auto"/>
                    <w:right w:val="single" w:sz="4" w:space="0" w:color="auto"/>
                  </w:tcBorders>
                  <w:vAlign w:val="center"/>
                </w:tcPr>
                <w:p w:rsidR="00EC19FB" w:rsidRPr="00482260" w:rsidRDefault="00FB62F8" w:rsidP="00482260">
                  <w:pPr>
                    <w:jc w:val="center"/>
                    <w:rPr>
                      <w:rFonts w:ascii="Calibri" w:hAnsi="Calibri" w:cs="Calibri"/>
                      <w:color w:val="000000"/>
                      <w:szCs w:val="22"/>
                    </w:rPr>
                  </w:pPr>
                  <w:r>
                    <w:rPr>
                      <w:rFonts w:ascii="Calibri" w:hAnsi="Calibri" w:cs="Calibri"/>
                      <w:color w:val="000000"/>
                      <w:szCs w:val="22"/>
                    </w:rPr>
                    <w:t>11.452,12</w:t>
                  </w:r>
                </w:p>
              </w:tc>
            </w:tr>
            <w:tr w:rsidR="00FB62F8" w:rsidTr="008A157A">
              <w:tc>
                <w:tcPr>
                  <w:tcW w:w="6799" w:type="dxa"/>
                  <w:gridSpan w:val="3"/>
                  <w:tcBorders>
                    <w:top w:val="single" w:sz="4" w:space="0" w:color="auto"/>
                    <w:left w:val="single" w:sz="4" w:space="0" w:color="auto"/>
                    <w:bottom w:val="single" w:sz="4" w:space="0" w:color="auto"/>
                    <w:right w:val="single" w:sz="4" w:space="0" w:color="auto"/>
                  </w:tcBorders>
                  <w:vAlign w:val="center"/>
                </w:tcPr>
                <w:p w:rsidR="00FB62F8" w:rsidRPr="00FB62F8" w:rsidRDefault="00FB62F8" w:rsidP="00482260">
                  <w:pPr>
                    <w:spacing w:before="120" w:after="120"/>
                    <w:jc w:val="center"/>
                    <w:rPr>
                      <w:rFonts w:asciiTheme="minorHAnsi" w:hAnsiTheme="minorHAnsi" w:cs="Arial"/>
                      <w:b/>
                      <w:sz w:val="24"/>
                    </w:rPr>
                  </w:pPr>
                  <w:r>
                    <w:rPr>
                      <w:rFonts w:asciiTheme="minorHAnsi" w:hAnsiTheme="minorHAnsi" w:cs="Arial"/>
                      <w:b/>
                      <w:sz w:val="24"/>
                    </w:rPr>
                    <w:t>Total</w:t>
                  </w:r>
                </w:p>
              </w:tc>
              <w:tc>
                <w:tcPr>
                  <w:tcW w:w="2036" w:type="dxa"/>
                  <w:tcBorders>
                    <w:top w:val="single" w:sz="4" w:space="0" w:color="auto"/>
                    <w:left w:val="single" w:sz="4" w:space="0" w:color="auto"/>
                    <w:bottom w:val="single" w:sz="4" w:space="0" w:color="auto"/>
                    <w:right w:val="single" w:sz="4" w:space="0" w:color="auto"/>
                  </w:tcBorders>
                  <w:vAlign w:val="center"/>
                </w:tcPr>
                <w:p w:rsidR="00FB62F8" w:rsidRPr="00482260" w:rsidRDefault="00FB62F8" w:rsidP="00482260">
                  <w:pPr>
                    <w:jc w:val="center"/>
                    <w:rPr>
                      <w:rFonts w:ascii="Calibri" w:hAnsi="Calibri" w:cs="Calibri"/>
                      <w:color w:val="000000"/>
                      <w:szCs w:val="22"/>
                    </w:rPr>
                  </w:pPr>
                  <w:r>
                    <w:rPr>
                      <w:rFonts w:ascii="Calibri" w:hAnsi="Calibri" w:cs="Calibri"/>
                      <w:color w:val="000000"/>
                      <w:szCs w:val="22"/>
                    </w:rPr>
                    <w:t>11.452,12</w:t>
                  </w:r>
                </w:p>
              </w:tc>
            </w:tr>
          </w:tbl>
          <w:p w:rsidR="00950549" w:rsidRPr="00405474" w:rsidRDefault="00950549" w:rsidP="00950549">
            <w:pPr>
              <w:spacing w:before="120" w:after="120"/>
              <w:rPr>
                <w:rFonts w:asciiTheme="minorHAnsi" w:hAnsiTheme="minorHAnsi" w:cs="Arial"/>
                <w:szCs w:val="22"/>
              </w:rPr>
            </w:pPr>
            <w:r w:rsidRPr="00525098">
              <w:rPr>
                <w:rFonts w:asciiTheme="minorHAnsi" w:hAnsiTheme="minorHAnsi" w:cs="Arial"/>
                <w:szCs w:val="22"/>
              </w:rPr>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P.51</w:t>
            </w:r>
            <w:r w:rsidRPr="00405474">
              <w:rPr>
                <w:rFonts w:asciiTheme="minorHAnsi" w:hAnsiTheme="minorHAnsi" w:cs="Arial"/>
                <w:szCs w:val="22"/>
              </w:rPr>
              <w:t xml:space="preserve"> debe ser convertida a miles de dólares aplicando la siguiente fórmula:</w:t>
            </w:r>
          </w:p>
          <w:p w:rsidR="00950549" w:rsidRPr="00405474" w:rsidRDefault="00950549" w:rsidP="00950549">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Pr>
                <w:rFonts w:ascii="Calibri" w:hAnsi="Calibri" w:cs="Calibri"/>
                <w:color w:val="000000"/>
                <w:szCs w:val="22"/>
              </w:rPr>
              <w:t>11.452,12</w:t>
            </w:r>
            <w:r w:rsidRPr="00405474">
              <w:rPr>
                <w:rFonts w:asciiTheme="minorHAnsi" w:hAnsiTheme="minorHAnsi"/>
                <w:b/>
                <w:bCs/>
                <w:color w:val="000000"/>
                <w:szCs w:val="22"/>
                <w:lang w:val="es-EC" w:eastAsia="es-EC"/>
              </w:rPr>
              <w:t>)/1000)+0,5)</w:t>
            </w:r>
          </w:p>
          <w:p w:rsidR="00950549" w:rsidRDefault="00950549" w:rsidP="00950549">
            <w:pPr>
              <w:spacing w:before="120" w:after="120"/>
              <w:jc w:val="both"/>
              <w:rPr>
                <w:rFonts w:asciiTheme="minorHAnsi" w:eastAsiaTheme="minorHAnsi" w:hAnsiTheme="minorHAnsi" w:cs="Arial"/>
                <w:b/>
                <w:bCs/>
                <w:color w:val="000000"/>
                <w:szCs w:val="22"/>
              </w:rPr>
            </w:pPr>
            <w:r w:rsidRPr="00405474">
              <w:rPr>
                <w:rFonts w:asciiTheme="minorHAnsi" w:hAnsiTheme="minorHAnsi" w:cs="Arial"/>
                <w:szCs w:val="22"/>
                <w:lang w:val="es-EC"/>
              </w:rPr>
              <w:t>=</w:t>
            </w:r>
            <w:r>
              <w:rPr>
                <w:rFonts w:asciiTheme="minorHAnsi" w:hAnsiTheme="minorHAnsi" w:cs="Arial"/>
                <w:szCs w:val="22"/>
                <w:lang w:val="es-EC"/>
              </w:rPr>
              <w:t>11</w:t>
            </w:r>
            <w:r w:rsidRPr="00405474">
              <w:rPr>
                <w:rFonts w:asciiTheme="minorHAnsi" w:hAnsiTheme="minorHAnsi" w:cs="Arial"/>
                <w:szCs w:val="22"/>
                <w:lang w:val="es-EC"/>
              </w:rPr>
              <w:t xml:space="preserve"> </w:t>
            </w:r>
          </w:p>
          <w:p w:rsidR="00EC19FB" w:rsidRDefault="00EC19FB" w:rsidP="00D914BC">
            <w:pPr>
              <w:spacing w:before="120" w:after="120"/>
              <w:jc w:val="both"/>
              <w:rPr>
                <w:rFonts w:asciiTheme="minorHAnsi" w:eastAsiaTheme="minorHAnsi" w:hAnsiTheme="minorHAnsi" w:cs="Arial"/>
                <w:b/>
                <w:bCs/>
                <w:color w:val="000000"/>
                <w:szCs w:val="22"/>
              </w:rPr>
            </w:pPr>
          </w:p>
          <w:p w:rsidR="00D914BC" w:rsidRPr="00D914BC" w:rsidRDefault="00D914BC" w:rsidP="00D914BC">
            <w:pPr>
              <w:spacing w:before="120" w:after="120"/>
              <w:jc w:val="both"/>
              <w:rPr>
                <w:rFonts w:asciiTheme="minorHAnsi" w:eastAsiaTheme="minorHAnsi" w:hAnsiTheme="minorHAnsi" w:cs="Arial"/>
                <w:b/>
                <w:bCs/>
                <w:color w:val="000000"/>
                <w:szCs w:val="22"/>
              </w:rPr>
            </w:pPr>
            <w:r w:rsidRPr="00D914BC">
              <w:rPr>
                <w:rFonts w:asciiTheme="minorHAnsi" w:eastAsiaTheme="minorHAnsi" w:hAnsiTheme="minorHAnsi" w:cs="Arial"/>
                <w:b/>
                <w:bCs/>
                <w:color w:val="000000"/>
                <w:szCs w:val="22"/>
              </w:rPr>
              <w:t>GASTO</w:t>
            </w:r>
            <w:r>
              <w:rPr>
                <w:rFonts w:asciiTheme="minorHAnsi" w:eastAsiaTheme="minorHAnsi" w:hAnsiTheme="minorHAnsi" w:cs="Arial"/>
                <w:b/>
                <w:bCs/>
                <w:color w:val="000000"/>
                <w:szCs w:val="22"/>
              </w:rPr>
              <w:t>S</w:t>
            </w:r>
            <w:r w:rsidRPr="00D914BC">
              <w:rPr>
                <w:rFonts w:asciiTheme="minorHAnsi" w:eastAsiaTheme="minorHAnsi" w:hAnsiTheme="minorHAnsi" w:cs="Arial"/>
                <w:b/>
                <w:bCs/>
                <w:color w:val="000000"/>
                <w:szCs w:val="22"/>
              </w:rPr>
              <w:t>:</w:t>
            </w:r>
          </w:p>
          <w:p w:rsidR="00D914BC" w:rsidRDefault="00D914BC" w:rsidP="00D914BC">
            <w:pPr>
              <w:spacing w:before="120" w:after="120"/>
              <w:jc w:val="both"/>
              <w:rPr>
                <w:rFonts w:asciiTheme="minorHAnsi" w:hAnsiTheme="minorHAnsi" w:cs="Arial"/>
                <w:szCs w:val="22"/>
              </w:rPr>
            </w:pPr>
            <w:r>
              <w:rPr>
                <w:rFonts w:asciiTheme="minorHAnsi" w:hAnsiTheme="minorHAnsi" w:cs="Arial"/>
                <w:szCs w:val="22"/>
              </w:rPr>
              <w:t>Una vez codificada las partidas presupuestarias de la base de ingresos de acuerdo al catálogo de cuentas nacionales,  se filtra todas las variables correspondientes a la P.51 obteniendo un total como se observa en el siguiente cuadro:</w:t>
            </w:r>
          </w:p>
          <w:tbl>
            <w:tblPr>
              <w:tblStyle w:val="Tablaconcuadrcula"/>
              <w:tblW w:w="8835" w:type="dxa"/>
              <w:tblLook w:val="04A0" w:firstRow="1" w:lastRow="0" w:firstColumn="1" w:lastColumn="0" w:noHBand="0" w:noVBand="1"/>
            </w:tblPr>
            <w:tblGrid>
              <w:gridCol w:w="1271"/>
              <w:gridCol w:w="1276"/>
              <w:gridCol w:w="4394"/>
              <w:gridCol w:w="1894"/>
            </w:tblGrid>
            <w:tr w:rsidR="00D914BC" w:rsidTr="008A157A">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Partida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Cód. CN</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Detalle</w:t>
                  </w:r>
                </w:p>
              </w:tc>
              <w:tc>
                <w:tcPr>
                  <w:tcW w:w="18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914BC" w:rsidRDefault="00D914BC">
                  <w:pPr>
                    <w:jc w:val="center"/>
                    <w:rPr>
                      <w:rFonts w:ascii="Calibri" w:hAnsi="Calibri"/>
                      <w:b/>
                      <w:color w:val="000000"/>
                      <w:sz w:val="24"/>
                      <w:lang w:val="es-EC" w:eastAsia="es-EC"/>
                    </w:rPr>
                  </w:pPr>
                  <w:r>
                    <w:rPr>
                      <w:rFonts w:ascii="Calibri" w:hAnsi="Calibri"/>
                      <w:b/>
                      <w:color w:val="000000"/>
                      <w:lang w:val="es-EC" w:eastAsia="es-EC"/>
                    </w:rPr>
                    <w:t>Valor devengado</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1.200,00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3.698,00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42.903,12</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680,00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200.000,00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840105</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2F0304">
                  <w:pPr>
                    <w:rPr>
                      <w:rFonts w:ascii="Calibri" w:hAnsi="Calibri" w:cs="Calibri"/>
                      <w:color w:val="000000"/>
                      <w:szCs w:val="22"/>
                    </w:rPr>
                  </w:pPr>
                  <w:r>
                    <w:rPr>
                      <w:rFonts w:ascii="Calibri" w:hAnsi="Calibri" w:cs="Calibri"/>
                      <w:color w:val="000000"/>
                      <w:szCs w:val="22"/>
                    </w:rPr>
                    <w:t>Vehículos</w:t>
                  </w:r>
                  <w:r w:rsidR="007D0231">
                    <w:rPr>
                      <w:rFonts w:ascii="Calibri" w:hAnsi="Calibri" w:cs="Calibri"/>
                      <w:color w:val="000000"/>
                      <w:szCs w:val="22"/>
                    </w:rPr>
                    <w:t xml:space="preserve"> Terrestres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48.018,00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49.183,90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3.900,00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1.696,43</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5.545,90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6.455,00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1.175,89</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757,45</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10.232,16</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840109</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Libros y colecciones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840111</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Partes y repuestos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1.794,11</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840105</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2F0304">
                  <w:pPr>
                    <w:rPr>
                      <w:rFonts w:ascii="Calibri" w:hAnsi="Calibri" w:cs="Calibri"/>
                      <w:color w:val="000000"/>
                      <w:szCs w:val="22"/>
                    </w:rPr>
                  </w:pPr>
                  <w:r>
                    <w:rPr>
                      <w:rFonts w:ascii="Calibri" w:hAnsi="Calibri" w:cs="Calibri"/>
                      <w:color w:val="000000"/>
                      <w:szCs w:val="22"/>
                    </w:rPr>
                    <w:t>Vehículos</w:t>
                  </w:r>
                  <w:r w:rsidR="007D0231">
                    <w:rPr>
                      <w:rFonts w:ascii="Calibri" w:hAnsi="Calibri" w:cs="Calibri"/>
                      <w:color w:val="000000"/>
                      <w:szCs w:val="22"/>
                    </w:rPr>
                    <w:t xml:space="preserve"> Terrestres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3.773,92</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750107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 Remodelaciones  (AMPLIACIONES)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101.202,01</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12.215,00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800,00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13.830,00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30.800,00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840105</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2F0304">
                  <w:pPr>
                    <w:rPr>
                      <w:rFonts w:ascii="Calibri" w:hAnsi="Calibri" w:cs="Calibri"/>
                      <w:color w:val="000000"/>
                      <w:szCs w:val="22"/>
                    </w:rPr>
                  </w:pPr>
                  <w:r>
                    <w:rPr>
                      <w:rFonts w:ascii="Calibri" w:hAnsi="Calibri" w:cs="Calibri"/>
                      <w:color w:val="000000"/>
                      <w:szCs w:val="22"/>
                    </w:rPr>
                    <w:t>Vehículos</w:t>
                  </w:r>
                  <w:r w:rsidR="007D0231">
                    <w:rPr>
                      <w:rFonts w:ascii="Calibri" w:hAnsi="Calibri" w:cs="Calibri"/>
                      <w:color w:val="000000"/>
                      <w:szCs w:val="22"/>
                    </w:rPr>
                    <w:t xml:space="preserve"> Terrestres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24.566,00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lastRenderedPageBreak/>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28.118,93</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2.991,00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2.314,28</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14.990,00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1.690,00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850,00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1.208,00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9.307,55</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750107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 Remodelaciones  (AMPLIACIONES)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13.226,75</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3.062,49</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1.538,08</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13.960,00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405,54</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840106</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Herramientas mayores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46.567,51</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840109</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Libros y colecciones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Enseres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Equipos de oficina</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840202</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Edificios, locales y residencias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840103</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Mobiliarios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0,00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Maquinarias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16.696,61</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840104</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de </w:t>
                  </w:r>
                  <w:r w:rsidR="002F0304">
                    <w:rPr>
                      <w:rFonts w:ascii="Calibri" w:hAnsi="Calibri" w:cs="Calibri"/>
                      <w:color w:val="000000"/>
                      <w:szCs w:val="22"/>
                    </w:rPr>
                    <w:t>comunicación</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521.371,58</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840107</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 xml:space="preserve">Equipos, sistemas y paquetes </w:t>
                  </w:r>
                  <w:r w:rsidR="002F0304">
                    <w:rPr>
                      <w:rFonts w:ascii="Calibri" w:hAnsi="Calibri" w:cs="Calibri"/>
                      <w:color w:val="000000"/>
                      <w:szCs w:val="22"/>
                    </w:rPr>
                    <w:t>informáticos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2.946.822,45</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840201</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Terrenos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503.415,00</w:t>
                  </w:r>
                </w:p>
              </w:tc>
            </w:tr>
            <w:tr w:rsidR="007D0231" w:rsidTr="008A157A">
              <w:tc>
                <w:tcPr>
                  <w:tcW w:w="1271" w:type="dxa"/>
                  <w:tcBorders>
                    <w:top w:val="single" w:sz="4" w:space="0" w:color="auto"/>
                    <w:left w:val="single" w:sz="4" w:space="0" w:color="auto"/>
                    <w:bottom w:val="single" w:sz="4" w:space="0" w:color="auto"/>
                    <w:right w:val="single" w:sz="4" w:space="0" w:color="auto"/>
                  </w:tcBorders>
                  <w:vAlign w:val="bottom"/>
                </w:tcPr>
                <w:p w:rsidR="007D0231" w:rsidRDefault="007D0231" w:rsidP="00CF3514">
                  <w:pPr>
                    <w:jc w:val="center"/>
                    <w:rPr>
                      <w:rFonts w:ascii="Calibri" w:hAnsi="Calibri" w:cs="Calibri"/>
                      <w:color w:val="000000"/>
                      <w:szCs w:val="22"/>
                    </w:rPr>
                  </w:pPr>
                  <w:r>
                    <w:rPr>
                      <w:rFonts w:ascii="Calibri" w:hAnsi="Calibri" w:cs="Calibri"/>
                      <w:color w:val="000000"/>
                      <w:szCs w:val="22"/>
                    </w:rPr>
                    <w:t>840202</w:t>
                  </w:r>
                </w:p>
              </w:tc>
              <w:tc>
                <w:tcPr>
                  <w:tcW w:w="1276" w:type="dxa"/>
                  <w:tcBorders>
                    <w:top w:val="single" w:sz="4" w:space="0" w:color="auto"/>
                    <w:left w:val="single" w:sz="4" w:space="0" w:color="auto"/>
                    <w:bottom w:val="single" w:sz="4" w:space="0" w:color="auto"/>
                    <w:right w:val="single" w:sz="4" w:space="0" w:color="auto"/>
                  </w:tcBorders>
                  <w:vAlign w:val="bottom"/>
                </w:tcPr>
                <w:p w:rsidR="007D0231" w:rsidRDefault="002F0304" w:rsidP="00CF3514">
                  <w:pPr>
                    <w:jc w:val="center"/>
                    <w:rPr>
                      <w:rFonts w:ascii="Calibri" w:hAnsi="Calibri" w:cs="Calibri"/>
                      <w:color w:val="000000"/>
                      <w:szCs w:val="22"/>
                    </w:rPr>
                  </w:pPr>
                  <w:r>
                    <w:rPr>
                      <w:rFonts w:ascii="Calibri" w:hAnsi="Calibri" w:cs="Calibri"/>
                      <w:color w:val="000000"/>
                      <w:szCs w:val="22"/>
                    </w:rPr>
                    <w:t>P.51</w:t>
                  </w:r>
                </w:p>
              </w:tc>
              <w:tc>
                <w:tcPr>
                  <w:tcW w:w="4394" w:type="dxa"/>
                  <w:tcBorders>
                    <w:top w:val="single" w:sz="4" w:space="0" w:color="auto"/>
                    <w:left w:val="single" w:sz="4" w:space="0" w:color="auto"/>
                    <w:bottom w:val="single" w:sz="4" w:space="0" w:color="auto"/>
                    <w:right w:val="single" w:sz="4" w:space="0" w:color="auto"/>
                  </w:tcBorders>
                  <w:vAlign w:val="bottom"/>
                </w:tcPr>
                <w:p w:rsidR="007D0231" w:rsidRDefault="007D0231">
                  <w:pPr>
                    <w:rPr>
                      <w:rFonts w:ascii="Calibri" w:hAnsi="Calibri" w:cs="Calibri"/>
                      <w:color w:val="000000"/>
                      <w:szCs w:val="22"/>
                    </w:rPr>
                  </w:pPr>
                  <w:r>
                    <w:rPr>
                      <w:rFonts w:ascii="Calibri" w:hAnsi="Calibri" w:cs="Calibri"/>
                      <w:color w:val="000000"/>
                      <w:szCs w:val="22"/>
                    </w:rPr>
                    <w:t>Edificios, locales y residencias</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Default="007D0231">
                  <w:pPr>
                    <w:jc w:val="right"/>
                    <w:rPr>
                      <w:rFonts w:ascii="Calibri" w:hAnsi="Calibri" w:cs="Calibri"/>
                      <w:color w:val="000000"/>
                      <w:szCs w:val="22"/>
                    </w:rPr>
                  </w:pPr>
                  <w:r>
                    <w:rPr>
                      <w:rFonts w:ascii="Calibri" w:hAnsi="Calibri" w:cs="Calibri"/>
                      <w:color w:val="000000"/>
                      <w:szCs w:val="22"/>
                    </w:rPr>
                    <w:t>22.158.216,61</w:t>
                  </w:r>
                </w:p>
              </w:tc>
            </w:tr>
            <w:tr w:rsidR="007D0231" w:rsidRPr="007D0231" w:rsidTr="00274D9C">
              <w:tc>
                <w:tcPr>
                  <w:tcW w:w="6941" w:type="dxa"/>
                  <w:gridSpan w:val="3"/>
                  <w:tcBorders>
                    <w:top w:val="single" w:sz="4" w:space="0" w:color="auto"/>
                    <w:left w:val="single" w:sz="4" w:space="0" w:color="auto"/>
                    <w:bottom w:val="single" w:sz="4" w:space="0" w:color="auto"/>
                    <w:right w:val="single" w:sz="4" w:space="0" w:color="auto"/>
                  </w:tcBorders>
                  <w:vAlign w:val="bottom"/>
                </w:tcPr>
                <w:p w:rsidR="007D0231" w:rsidRPr="007D0231" w:rsidRDefault="007D0231">
                  <w:pPr>
                    <w:jc w:val="right"/>
                    <w:rPr>
                      <w:rFonts w:ascii="Calibri" w:hAnsi="Calibri" w:cs="Calibri"/>
                      <w:b/>
                      <w:color w:val="000000"/>
                      <w:szCs w:val="22"/>
                    </w:rPr>
                  </w:pPr>
                  <w:r w:rsidRPr="007D0231">
                    <w:rPr>
                      <w:rFonts w:ascii="Calibri" w:hAnsi="Calibri" w:cs="Calibri"/>
                      <w:b/>
                      <w:color w:val="000000"/>
                      <w:szCs w:val="22"/>
                    </w:rPr>
                    <w:t>Total</w:t>
                  </w:r>
                </w:p>
              </w:tc>
              <w:tc>
                <w:tcPr>
                  <w:tcW w:w="1894" w:type="dxa"/>
                  <w:tcBorders>
                    <w:top w:val="single" w:sz="4" w:space="0" w:color="auto"/>
                    <w:left w:val="single" w:sz="4" w:space="0" w:color="auto"/>
                    <w:bottom w:val="single" w:sz="4" w:space="0" w:color="auto"/>
                    <w:right w:val="single" w:sz="4" w:space="0" w:color="auto"/>
                  </w:tcBorders>
                  <w:vAlign w:val="bottom"/>
                </w:tcPr>
                <w:p w:rsidR="007D0231" w:rsidRPr="007D0231" w:rsidRDefault="007D0231">
                  <w:pPr>
                    <w:jc w:val="right"/>
                    <w:rPr>
                      <w:rFonts w:ascii="Calibri" w:hAnsi="Calibri" w:cs="Calibri"/>
                      <w:b/>
                      <w:color w:val="000000"/>
                      <w:szCs w:val="22"/>
                    </w:rPr>
                  </w:pPr>
                  <w:r w:rsidRPr="007D0231">
                    <w:rPr>
                      <w:rFonts w:ascii="Calibri" w:hAnsi="Calibri" w:cs="Calibri"/>
                      <w:b/>
                      <w:color w:val="000000"/>
                      <w:szCs w:val="22"/>
                    </w:rPr>
                    <w:t>26.851.179,27</w:t>
                  </w:r>
                </w:p>
              </w:tc>
            </w:tr>
          </w:tbl>
          <w:p w:rsidR="002F0304" w:rsidRPr="00405474" w:rsidRDefault="002F0304" w:rsidP="002F0304">
            <w:pPr>
              <w:spacing w:before="120" w:after="120"/>
              <w:rPr>
                <w:rFonts w:asciiTheme="minorHAnsi" w:hAnsiTheme="minorHAnsi" w:cs="Arial"/>
                <w:szCs w:val="22"/>
              </w:rPr>
            </w:pPr>
            <w:r w:rsidRPr="00525098">
              <w:rPr>
                <w:rFonts w:asciiTheme="minorHAnsi" w:hAnsiTheme="minorHAnsi" w:cs="Arial"/>
                <w:szCs w:val="22"/>
              </w:rPr>
              <w:lastRenderedPageBreak/>
              <w:t>El</w:t>
            </w:r>
            <w:r w:rsidRPr="00405474">
              <w:rPr>
                <w:rFonts w:asciiTheme="minorHAnsi" w:hAnsiTheme="minorHAnsi" w:cs="Arial"/>
                <w:szCs w:val="22"/>
              </w:rPr>
              <w:t xml:space="preserve"> valor obtenido de la sumatoria de las partidas presup</w:t>
            </w:r>
            <w:r>
              <w:rPr>
                <w:rFonts w:asciiTheme="minorHAnsi" w:hAnsiTheme="minorHAnsi" w:cs="Arial"/>
                <w:szCs w:val="22"/>
              </w:rPr>
              <w:t>uestarias correspondientes a P.51</w:t>
            </w:r>
            <w:r w:rsidRPr="00405474">
              <w:rPr>
                <w:rFonts w:asciiTheme="minorHAnsi" w:hAnsiTheme="minorHAnsi" w:cs="Arial"/>
                <w:szCs w:val="22"/>
              </w:rPr>
              <w:t xml:space="preserve"> debe ser convertida a miles de dólares aplicando la siguiente fórmula:</w:t>
            </w:r>
          </w:p>
          <w:p w:rsidR="002F0304" w:rsidRPr="00405474" w:rsidRDefault="002F0304" w:rsidP="002F0304">
            <w:pPr>
              <w:spacing w:before="120" w:after="120"/>
              <w:rPr>
                <w:rFonts w:asciiTheme="minorHAnsi" w:hAnsiTheme="minorHAnsi"/>
                <w:b/>
                <w:bCs/>
                <w:color w:val="000000"/>
                <w:szCs w:val="22"/>
                <w:lang w:val="es-EC" w:eastAsia="es-EC"/>
              </w:rPr>
            </w:pPr>
            <w:r w:rsidRPr="00405474">
              <w:rPr>
                <w:rFonts w:asciiTheme="minorHAnsi" w:hAnsiTheme="minorHAnsi"/>
                <w:b/>
                <w:bCs/>
                <w:color w:val="000000"/>
                <w:szCs w:val="22"/>
                <w:lang w:val="es-EC" w:eastAsia="es-EC"/>
              </w:rPr>
              <w:t>=ENTERO(((</w:t>
            </w:r>
            <w:r w:rsidRPr="007D0231">
              <w:rPr>
                <w:rFonts w:ascii="Calibri" w:hAnsi="Calibri" w:cs="Calibri"/>
                <w:b/>
                <w:color w:val="000000"/>
                <w:szCs w:val="22"/>
              </w:rPr>
              <w:t>26.851.179,27</w:t>
            </w:r>
            <w:r w:rsidRPr="00405474">
              <w:rPr>
                <w:rFonts w:asciiTheme="minorHAnsi" w:hAnsiTheme="minorHAnsi"/>
                <w:b/>
                <w:bCs/>
                <w:color w:val="000000"/>
                <w:szCs w:val="22"/>
                <w:lang w:val="es-EC" w:eastAsia="es-EC"/>
              </w:rPr>
              <w:t>)/1000)+0,5)</w:t>
            </w:r>
          </w:p>
          <w:p w:rsidR="002F0304" w:rsidRDefault="002F0304" w:rsidP="00D914BC">
            <w:pPr>
              <w:spacing w:before="120" w:after="120"/>
              <w:jc w:val="both"/>
              <w:rPr>
                <w:rFonts w:asciiTheme="minorHAnsi" w:eastAsiaTheme="minorHAnsi" w:hAnsiTheme="minorHAnsi" w:cs="Arial"/>
                <w:b/>
                <w:bCs/>
                <w:color w:val="000000"/>
                <w:szCs w:val="22"/>
              </w:rPr>
            </w:pPr>
            <w:r w:rsidRPr="00405474">
              <w:rPr>
                <w:rFonts w:asciiTheme="minorHAnsi" w:hAnsiTheme="minorHAnsi" w:cs="Arial"/>
                <w:szCs w:val="22"/>
                <w:lang w:val="es-EC"/>
              </w:rPr>
              <w:t>=</w:t>
            </w:r>
            <w:r>
              <w:rPr>
                <w:rFonts w:asciiTheme="minorHAnsi" w:hAnsiTheme="minorHAnsi" w:cs="Arial"/>
                <w:szCs w:val="22"/>
                <w:lang w:val="es-EC"/>
              </w:rPr>
              <w:t xml:space="preserve"> </w:t>
            </w:r>
            <w:r>
              <w:rPr>
                <w:rFonts w:ascii="Calibri" w:hAnsi="Calibri" w:cs="Calibri"/>
                <w:b/>
                <w:color w:val="000000"/>
                <w:szCs w:val="22"/>
              </w:rPr>
              <w:t>26.851</w:t>
            </w:r>
          </w:p>
          <w:p w:rsidR="00D914BC" w:rsidRPr="007D0231" w:rsidRDefault="0048473D" w:rsidP="00D914BC">
            <w:pPr>
              <w:spacing w:before="120" w:after="120"/>
              <w:jc w:val="both"/>
              <w:rPr>
                <w:rFonts w:asciiTheme="minorHAnsi" w:eastAsiaTheme="minorHAnsi" w:hAnsiTheme="minorHAnsi" w:cs="Arial"/>
                <w:b/>
                <w:bCs/>
                <w:color w:val="000000"/>
                <w:szCs w:val="22"/>
              </w:rPr>
            </w:pPr>
            <w:r>
              <w:rPr>
                <w:rFonts w:asciiTheme="minorHAnsi" w:eastAsiaTheme="minorHAnsi" w:hAnsiTheme="minorHAnsi" w:cs="Arial"/>
                <w:b/>
                <w:bCs/>
                <w:color w:val="000000"/>
                <w:szCs w:val="22"/>
              </w:rPr>
              <w:t>Posteriormente calculamos:</w:t>
            </w:r>
          </w:p>
          <w:p w:rsidR="00D914BC" w:rsidRPr="0048473D" w:rsidRDefault="007D0231"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=P.51gasto total-P.51ingreso total</m:t>
                </m:r>
              </m:oMath>
            </m:oMathPara>
          </w:p>
          <w:p w:rsidR="00D914BC" w:rsidRPr="00F41ED6" w:rsidRDefault="00D914BC" w:rsidP="00D914BC">
            <w:pPr>
              <w:spacing w:before="120" w:after="120"/>
              <w:jc w:val="both"/>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=26.851-11</m:t>
                </m:r>
              </m:oMath>
            </m:oMathPara>
          </w:p>
          <w:p w:rsidR="00D914BC" w:rsidRPr="006C10D8" w:rsidRDefault="00D914BC" w:rsidP="006C10D8">
            <w:pPr>
              <w:spacing w:before="120" w:after="120"/>
              <w:jc w:val="both"/>
              <w:rPr>
                <w:rFonts w:asciiTheme="minorHAnsi" w:eastAsiaTheme="minorHAnsi" w:hAnsiTheme="minorHAnsi" w:cs="Arial"/>
                <w:bCs/>
                <w:color w:val="000000"/>
                <w:szCs w:val="22"/>
              </w:rPr>
            </w:pPr>
            <m:oMathPara>
              <m:oMathParaPr>
                <m:jc m:val="left"/>
              </m:oMathParaPr>
              <m:oMath>
                <m:r>
                  <m:rPr>
                    <m:sty m:val="bi"/>
                  </m:rPr>
                  <w:rPr>
                    <w:rFonts w:ascii="Cambria Math" w:eastAsiaTheme="minorHAnsi" w:hAnsi="Cambria Math" w:cs="Arial"/>
                    <w:color w:val="000000"/>
                    <w:szCs w:val="22"/>
                  </w:rPr>
                  <m:t>P.51</m:t>
                </m:r>
                <m:r>
                  <m:rPr>
                    <m:sty m:val="bi"/>
                  </m:rPr>
                  <w:rPr>
                    <w:rFonts w:ascii="Cambria Math" w:eastAsiaTheme="minorHAnsi" w:hAnsi="Cambria Math" w:cs="Arial"/>
                    <w:color w:val="000000"/>
                    <w:szCs w:val="22"/>
                  </w:rPr>
                  <m:t>b total</m:t>
                </m:r>
                <m:r>
                  <w:rPr>
                    <w:rFonts w:ascii="Cambria Math" w:eastAsiaTheme="minorHAnsi" w:hAnsi="Cambria Math" w:cs="Arial"/>
                    <w:color w:val="000000"/>
                    <w:szCs w:val="22"/>
                  </w:rPr>
                  <m:t>=26.840</m:t>
                </m:r>
              </m:oMath>
            </m:oMathPara>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P.5</w:t>
            </w:r>
            <w:r>
              <w:rPr>
                <w:rFonts w:asciiTheme="minorHAnsi" w:eastAsiaTheme="minorHAnsi" w:hAnsiTheme="minorHAnsi" w:cs="Arial"/>
                <w:b/>
                <w:bCs/>
                <w:color w:val="000000"/>
                <w:szCs w:val="22"/>
                <w:lang w:val="es-EC"/>
              </w:rPr>
              <w:t>1c  Consumo de capital fijo (-)</w:t>
            </w:r>
          </w:p>
        </w:tc>
      </w:tr>
      <w:tr w:rsidR="004C708F" w:rsidRPr="00080CCB" w:rsidTr="00A815F6">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El valor del Consumo de capital fijo proviene </w:t>
            </w:r>
            <w:r w:rsidR="002F0304">
              <w:rPr>
                <w:rFonts w:asciiTheme="minorHAnsi" w:eastAsiaTheme="minorHAnsi" w:hAnsiTheme="minorHAnsi" w:cs="Arial"/>
                <w:bCs/>
                <w:color w:val="000000"/>
                <w:szCs w:val="22"/>
              </w:rPr>
              <w:t xml:space="preserve">de </w:t>
            </w:r>
            <w:r>
              <w:rPr>
                <w:rFonts w:asciiTheme="minorHAnsi" w:eastAsiaTheme="minorHAnsi" w:hAnsiTheme="minorHAnsi" w:cs="Arial"/>
                <w:bCs/>
                <w:color w:val="000000"/>
                <w:szCs w:val="22"/>
              </w:rPr>
              <w:t xml:space="preserve">la cuenta </w:t>
            </w:r>
            <w:r w:rsidRPr="00D21358">
              <w:rPr>
                <w:rFonts w:asciiTheme="minorHAnsi" w:eastAsiaTheme="minorHAnsi" w:hAnsiTheme="minorHAnsi" w:cs="Arial"/>
                <w:bCs/>
                <w:color w:val="000000"/>
                <w:szCs w:val="22"/>
                <w:lang w:val="es-EC"/>
              </w:rPr>
              <w:t>I. CUENTA DE PRODUCCIÓN</w:t>
            </w:r>
          </w:p>
          <w:p w:rsidR="004C708F" w:rsidRPr="008020C1"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P.51c = 852</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A815F6">
        <w:trPr>
          <w:jc w:val="center"/>
        </w:trPr>
        <w:tc>
          <w:tcPr>
            <w:tcW w:w="9054" w:type="dxa"/>
            <w:gridSpan w:val="4"/>
            <w:shd w:val="clear" w:color="auto" w:fill="auto"/>
            <w:vAlign w:val="center"/>
          </w:tcPr>
          <w:p w:rsidR="006F3C76" w:rsidRDefault="006F3C76" w:rsidP="006F3C76">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6F3C76" w:rsidRPr="006F3C76" w:rsidRDefault="006F3C76"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P.52 = 0</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A815F6">
        <w:trPr>
          <w:jc w:val="center"/>
        </w:trPr>
        <w:tc>
          <w:tcPr>
            <w:tcW w:w="9054" w:type="dxa"/>
            <w:gridSpan w:val="4"/>
            <w:shd w:val="clear" w:color="auto" w:fill="auto"/>
            <w:vAlign w:val="center"/>
          </w:tcPr>
          <w:p w:rsidR="00D0251C"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no presenta información para el ejemplo actual</w:t>
            </w:r>
          </w:p>
          <w:p w:rsidR="004C708F" w:rsidRPr="008020C1" w:rsidRDefault="00D0251C"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P.53 = 0</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A815F6">
        <w:trPr>
          <w:jc w:val="center"/>
        </w:trPr>
        <w:tc>
          <w:tcPr>
            <w:tcW w:w="9054" w:type="dxa"/>
            <w:gridSpan w:val="4"/>
            <w:shd w:val="clear" w:color="auto" w:fill="auto"/>
            <w:vAlign w:val="center"/>
          </w:tcPr>
          <w:p w:rsidR="004C708F" w:rsidRPr="008020C1" w:rsidRDefault="00BC0686"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A815F6">
        <w:trPr>
          <w:jc w:val="center"/>
        </w:trPr>
        <w:tc>
          <w:tcPr>
            <w:tcW w:w="9054" w:type="dxa"/>
            <w:gridSpan w:val="4"/>
            <w:shd w:val="clear" w:color="auto" w:fill="auto"/>
            <w:vAlign w:val="center"/>
          </w:tcPr>
          <w:p w:rsidR="00D0251C" w:rsidRPr="0018477A" w:rsidRDefault="00AA1E3A"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E6522F">
              <w:rPr>
                <w:rFonts w:asciiTheme="minorHAnsi" w:eastAsiaTheme="minorEastAsia" w:hAnsiTheme="minorHAnsi" w:cs="Arial"/>
                <w:bCs/>
                <w:color w:val="000000"/>
                <w:szCs w:val="22"/>
                <w:lang w:val="en-US"/>
              </w:rPr>
              <w:t xml:space="preserve">         </w:t>
            </w:r>
            <w:r w:rsidRPr="00E6522F">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m:t>
              </m:r>
              <m:r>
                <m:rPr>
                  <m:sty m:val="p"/>
                </m:rPr>
                <w:rPr>
                  <w:rFonts w:ascii="Cambria Math" w:eastAsiaTheme="minorHAnsi" w:hAnsi="Cambria Math" w:cs="Arial"/>
                  <w:color w:val="000000"/>
                  <w:szCs w:val="22"/>
                  <w:lang w:val="en-US"/>
                </w:rPr>
                <w:lastRenderedPageBreak/>
                <m:t>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Pr="00D0251C">
              <w:rPr>
                <w:rFonts w:ascii="Calibri" w:hAnsi="Calibri"/>
                <w:color w:val="000000"/>
                <w:szCs w:val="22"/>
                <w:lang w:val="en-US"/>
              </w:rPr>
              <w:t>-347.186</w:t>
            </w:r>
            <m:oMath>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26.840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852</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4919A3">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-373.174</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7. LIMITACIONES TÉCNICAS</w:t>
            </w:r>
          </w:p>
        </w:tc>
      </w:tr>
      <w:tr w:rsidR="00B46ADF" w:rsidRPr="00080CCB" w:rsidTr="00DB4EF4">
        <w:trPr>
          <w:jc w:val="center"/>
        </w:trPr>
        <w:tc>
          <w:tcPr>
            <w:tcW w:w="9054" w:type="dxa"/>
            <w:gridSpan w:val="4"/>
            <w:shd w:val="clear" w:color="auto" w:fill="F2F2F2" w:themeFill="background1" w:themeFillShade="F2"/>
            <w:vAlign w:val="center"/>
          </w:tcPr>
          <w:p w:rsidR="00B46ADF" w:rsidRPr="001611F8" w:rsidRDefault="00B46ADF" w:rsidP="006C10D8">
            <w:pPr>
              <w:shd w:val="clear" w:color="auto" w:fill="FFFFFF" w:themeFill="background1"/>
              <w:spacing w:before="120" w:after="120"/>
              <w:jc w:val="both"/>
              <w:rPr>
                <w:rFonts w:asciiTheme="minorHAnsi" w:hAnsiTheme="minorHAnsi" w:cs="Arial"/>
                <w:szCs w:val="22"/>
              </w:rPr>
            </w:pPr>
            <w:r w:rsidRPr="00384BA7">
              <w:rPr>
                <w:rFonts w:asciiTheme="minorHAnsi" w:hAnsiTheme="minorHAnsi" w:cs="Arial"/>
              </w:rPr>
              <w:t xml:space="preserve">Las entidades que suministran la información de Base (registros administrativos), se nieguen a proporcionar  o  </w:t>
            </w:r>
            <w:r>
              <w:rPr>
                <w:rFonts w:asciiTheme="minorHAnsi" w:hAnsiTheme="minorHAnsi" w:cs="Arial"/>
              </w:rPr>
              <w:t>no entregue</w:t>
            </w:r>
            <w:r w:rsidRPr="00384BA7">
              <w:rPr>
                <w:rFonts w:asciiTheme="minorHAnsi" w:hAnsiTheme="minorHAnsi" w:cs="Arial"/>
              </w:rPr>
              <w:t>n en tiempo establecido.</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557" w:type="dxa"/>
            <w:vAlign w:val="center"/>
          </w:tcPr>
          <w:p w:rsidR="00B46ADF" w:rsidRPr="00080CCB" w:rsidRDefault="00B46ADF" w:rsidP="009036BF">
            <w:pPr>
              <w:jc w:val="both"/>
              <w:rPr>
                <w:rFonts w:asciiTheme="minorHAnsi" w:hAnsiTheme="minorHAnsi" w:cs="Arial"/>
                <w:szCs w:val="22"/>
              </w:rPr>
            </w:pPr>
            <w:r>
              <w:rPr>
                <w:rFonts w:asciiTheme="minorHAnsi" w:hAnsiTheme="minorHAnsi" w:cs="Arial"/>
                <w:szCs w:val="22"/>
              </w:rPr>
              <w:t xml:space="preserve">Miles de dólares </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7" w:type="dxa"/>
            <w:shd w:val="clear" w:color="auto" w:fill="FFFFFF" w:themeFill="background1"/>
            <w:vAlign w:val="center"/>
          </w:tcPr>
          <w:p w:rsidR="00B46ADF" w:rsidRPr="009239C0" w:rsidRDefault="00B46ADF" w:rsidP="009239C0">
            <w:pPr>
              <w:autoSpaceDE w:val="0"/>
              <w:autoSpaceDN w:val="0"/>
              <w:adjustRightInd w:val="0"/>
              <w:spacing w:before="120" w:after="120"/>
              <w:jc w:val="both"/>
              <w:rPr>
                <w:rFonts w:asciiTheme="minorHAnsi" w:eastAsiaTheme="minorHAnsi" w:hAnsiTheme="minorHAnsi"/>
                <w:color w:val="FF0000"/>
                <w:sz w:val="18"/>
                <w:szCs w:val="18"/>
                <w:lang w:val="es-EC"/>
              </w:rPr>
            </w:pPr>
            <w:r>
              <w:rPr>
                <w:rFonts w:asciiTheme="minorHAnsi" w:hAnsiTheme="minorHAnsi" w:cs="Arial"/>
                <w:szCs w:val="22"/>
              </w:rPr>
              <w:t>No aplica</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7" w:type="dxa"/>
            <w:shd w:val="clear" w:color="auto" w:fill="FFFFFF" w:themeFill="background1"/>
            <w:vAlign w:val="center"/>
          </w:tcPr>
          <w:p w:rsidR="00B46ADF" w:rsidRPr="008C5E29" w:rsidRDefault="00B46ADF" w:rsidP="00A815F6">
            <w:pPr>
              <w:spacing w:before="120" w:after="120"/>
              <w:rPr>
                <w:rFonts w:asciiTheme="minorHAnsi" w:eastAsiaTheme="minorHAnsi" w:hAnsiTheme="minorHAnsi" w:cs="Arial"/>
                <w:b/>
                <w:bCs/>
                <w:color w:val="000000"/>
                <w:szCs w:val="22"/>
                <w:lang w:val="es-EC"/>
              </w:rPr>
            </w:pPr>
            <w:r w:rsidRPr="008C5E29">
              <w:rPr>
                <w:rFonts w:asciiTheme="minorHAnsi" w:eastAsiaTheme="minorHAnsi" w:hAnsiTheme="minorHAnsi" w:cs="Arial"/>
                <w:b/>
                <w:bCs/>
                <w:color w:val="000000"/>
                <w:szCs w:val="22"/>
                <w:lang w:val="es-EC"/>
              </w:rPr>
              <w:t>Instituto Ecuatoriano de Seguridad Social</w:t>
            </w:r>
          </w:p>
          <w:p w:rsidR="00B46ADF" w:rsidRPr="00326516" w:rsidRDefault="00B46ADF" w:rsidP="00730FBF">
            <w:pPr>
              <w:pStyle w:val="Prrafodelista"/>
              <w:numPr>
                <w:ilvl w:val="0"/>
                <w:numId w:val="16"/>
              </w:numPr>
              <w:spacing w:before="120" w:after="120"/>
              <w:ind w:left="714" w:hanging="357"/>
              <w:jc w:val="both"/>
              <w:rPr>
                <w:rFonts w:asciiTheme="minorHAnsi" w:hAnsiTheme="minorHAnsi" w:cs="Arial"/>
                <w:szCs w:val="22"/>
              </w:rPr>
            </w:pPr>
            <w:r w:rsidRPr="000A5927">
              <w:rPr>
                <w:rFonts w:asciiTheme="minorHAnsi" w:eastAsiaTheme="minorHAnsi" w:hAnsiTheme="minorHAnsi" w:cs="Arial"/>
                <w:bCs/>
                <w:color w:val="000000"/>
                <w:szCs w:val="22"/>
                <w:lang w:val="es-EC"/>
              </w:rPr>
              <w:t>Seguro General de Salud Individual y familiar (</w:t>
            </w:r>
            <w:r w:rsidRPr="000A5927">
              <w:rPr>
                <w:rFonts w:asciiTheme="minorHAnsi" w:hAnsiTheme="minorHAnsi" w:cs="Arial"/>
                <w:szCs w:val="22"/>
              </w:rPr>
              <w:t>Presupuestos devengados)</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557" w:type="dxa"/>
            <w:vAlign w:val="center"/>
          </w:tcPr>
          <w:p w:rsidR="00B46ADF" w:rsidRPr="00A815F6" w:rsidRDefault="00B46AD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7" w:type="dxa"/>
            <w:vAlign w:val="center"/>
          </w:tcPr>
          <w:p w:rsidR="00B46ADF" w:rsidRPr="00A815F6" w:rsidRDefault="00B46AD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B46ADF" w:rsidRPr="00080CCB" w:rsidTr="00B46ADF">
        <w:trPr>
          <w:jc w:val="center"/>
        </w:trPr>
        <w:tc>
          <w:tcPr>
            <w:tcW w:w="3654" w:type="dxa"/>
            <w:vMerge w:val="restart"/>
            <w:shd w:val="clear" w:color="auto" w:fill="DBE5F1"/>
            <w:vAlign w:val="center"/>
          </w:tcPr>
          <w:p w:rsidR="00B46ADF" w:rsidRPr="00080CCB" w:rsidRDefault="00B46AD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7" w:type="dxa"/>
            <w:shd w:val="clear" w:color="auto" w:fill="auto"/>
            <w:vAlign w:val="center"/>
          </w:tcPr>
          <w:p w:rsidR="00B46ADF" w:rsidRPr="00A815F6" w:rsidRDefault="00B46AD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B46ADF" w:rsidRPr="00080CCB" w:rsidTr="00B46ADF">
        <w:trPr>
          <w:jc w:val="center"/>
        </w:trPr>
        <w:tc>
          <w:tcPr>
            <w:tcW w:w="3654" w:type="dxa"/>
            <w:vMerge/>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7" w:type="dxa"/>
            <w:shd w:val="clear" w:color="auto" w:fill="auto"/>
            <w:vAlign w:val="center"/>
          </w:tcPr>
          <w:p w:rsidR="00B46ADF" w:rsidRPr="00A815F6" w:rsidRDefault="00B46AD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B46ADF" w:rsidRPr="00080CCB" w:rsidTr="00B46ADF">
        <w:trPr>
          <w:jc w:val="center"/>
        </w:trPr>
        <w:tc>
          <w:tcPr>
            <w:tcW w:w="3654" w:type="dxa"/>
            <w:vMerge/>
            <w:shd w:val="clear" w:color="auto" w:fill="DBE5F1"/>
            <w:vAlign w:val="center"/>
          </w:tcPr>
          <w:p w:rsidR="00B46ADF" w:rsidRPr="00080CCB" w:rsidRDefault="00B46ADF"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7" w:type="dxa"/>
            <w:shd w:val="clear" w:color="auto" w:fill="auto"/>
            <w:vAlign w:val="center"/>
          </w:tcPr>
          <w:p w:rsidR="00B46ADF" w:rsidRPr="00A815F6" w:rsidRDefault="00B46AD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557" w:type="dxa"/>
            <w:shd w:val="clear" w:color="auto" w:fill="auto"/>
            <w:vAlign w:val="center"/>
          </w:tcPr>
          <w:p w:rsidR="00B46ADF" w:rsidRPr="00A815F6" w:rsidRDefault="00B46AD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557" w:type="dxa"/>
            <w:shd w:val="clear" w:color="auto" w:fill="auto"/>
            <w:vAlign w:val="center"/>
          </w:tcPr>
          <w:p w:rsidR="00B46ADF" w:rsidRPr="00951384" w:rsidRDefault="00B46ADF" w:rsidP="007E7C6D">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 xml:space="preserve">Es una herramienta estadística  importante para la formulación, implementación y evaluación de las </w:t>
            </w:r>
            <w:r w:rsidRPr="00951384">
              <w:rPr>
                <w:rFonts w:asciiTheme="minorHAnsi" w:hAnsiTheme="minorHAnsi" w:cs="Arial"/>
                <w:szCs w:val="22"/>
                <w:lang w:val="es-EC"/>
              </w:rPr>
              <w:lastRenderedPageBreak/>
              <w:t xml:space="preserve">políticas del gobierno, contribuye al cumplimiento de los objetivos del Plan Nacional del Buen Vivir 2013-2017. </w:t>
            </w:r>
          </w:p>
          <w:p w:rsidR="00B46ADF" w:rsidRPr="00951384" w:rsidRDefault="00B46ADF" w:rsidP="007E7C6D">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B46ADF" w:rsidRPr="00A815F6" w:rsidRDefault="00B46ADF" w:rsidP="007E7C6D">
            <w:pPr>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REFERENCIAS BIBLIOGRÁFICAS DE LA CONSTRUCCIÓN DEL INDICADOR</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7" w:type="dxa"/>
            <w:shd w:val="clear" w:color="auto" w:fill="auto"/>
            <w:vAlign w:val="center"/>
          </w:tcPr>
          <w:p w:rsidR="00B46ADF" w:rsidRPr="004909B4" w:rsidRDefault="00B46ADF" w:rsidP="004909B4">
            <w:pPr>
              <w:spacing w:before="120"/>
              <w:rPr>
                <w:rFonts w:asciiTheme="minorHAnsi" w:hAnsiTheme="minorHAnsi" w:cs="Arial"/>
                <w:szCs w:val="22"/>
              </w:rPr>
            </w:pPr>
            <w:r w:rsidRPr="004909B4">
              <w:rPr>
                <w:rFonts w:asciiTheme="minorHAnsi" w:hAnsiTheme="minorHAnsi" w:cs="Arial"/>
                <w:szCs w:val="22"/>
              </w:rPr>
              <w:t>Dominio 1: 1.4 Salud</w:t>
            </w:r>
          </w:p>
          <w:p w:rsidR="00B46ADF" w:rsidRPr="004909B4" w:rsidRDefault="00B46AD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B46ADF" w:rsidRPr="00080CCB" w:rsidTr="00B46ADF">
        <w:trPr>
          <w:jc w:val="center"/>
        </w:trPr>
        <w:tc>
          <w:tcPr>
            <w:tcW w:w="5497" w:type="dxa"/>
            <w:gridSpan w:val="3"/>
            <w:shd w:val="clear" w:color="auto" w:fill="DBE5F1"/>
            <w:vAlign w:val="center"/>
          </w:tcPr>
          <w:p w:rsidR="00B46ADF" w:rsidRPr="00080CCB" w:rsidRDefault="00B46AD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B46ADF" w:rsidRPr="00080CCB" w:rsidTr="00B46ADF">
        <w:trPr>
          <w:jc w:val="center"/>
        </w:trPr>
        <w:tc>
          <w:tcPr>
            <w:tcW w:w="5497" w:type="dxa"/>
            <w:gridSpan w:val="3"/>
            <w:shd w:val="clear" w:color="auto" w:fill="DBE5F1"/>
            <w:vAlign w:val="center"/>
          </w:tcPr>
          <w:p w:rsidR="00B46ADF" w:rsidRDefault="00B46AD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7" w:type="dxa"/>
            <w:shd w:val="clear" w:color="auto" w:fill="auto"/>
            <w:vAlign w:val="center"/>
          </w:tcPr>
          <w:p w:rsidR="00B46ADF" w:rsidRPr="004909B4" w:rsidRDefault="00B46AD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Pr="00080CCB" w:rsidRDefault="007D52DD"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lastRenderedPageBreak/>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p>
    <w:sectPr w:rsidR="007D52DD" w:rsidRPr="00080CCB" w:rsidSect="00662EE0">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DE1" w:rsidRDefault="00FD5DE1" w:rsidP="007C0272">
      <w:r>
        <w:separator/>
      </w:r>
    </w:p>
  </w:endnote>
  <w:endnote w:type="continuationSeparator" w:id="0">
    <w:p w:rsidR="00FD5DE1" w:rsidRDefault="00FD5DE1"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3A" w:rsidRDefault="00AA1E3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3A" w:rsidRDefault="00AA1E3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3A" w:rsidRDefault="00AA1E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DE1" w:rsidRDefault="00FD5DE1" w:rsidP="007C0272">
      <w:r>
        <w:separator/>
      </w:r>
    </w:p>
  </w:footnote>
  <w:footnote w:type="continuationSeparator" w:id="0">
    <w:p w:rsidR="00FD5DE1" w:rsidRDefault="00FD5DE1"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3A" w:rsidRDefault="00AA1E3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25"/>
      <w:gridCol w:w="925"/>
      <w:gridCol w:w="4096"/>
      <w:gridCol w:w="1609"/>
    </w:tblGrid>
    <w:tr w:rsidR="00E43228" w:rsidRPr="004B60A7" w:rsidTr="00305B43">
      <w:trPr>
        <w:trHeight w:val="288"/>
      </w:trPr>
      <w:tc>
        <w:tcPr>
          <w:tcW w:w="2425"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46FBEA37" wp14:editId="49550969">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5"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096" w:type="dxa"/>
          <w:vAlign w:val="center"/>
        </w:tcPr>
        <w:p w:rsidR="00E43228" w:rsidRPr="009329F8" w:rsidRDefault="002521D1" w:rsidP="00950549">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950549">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09" w:type="dxa"/>
          <w:shd w:val="clear" w:color="auto" w:fill="auto"/>
          <w:vAlign w:val="center"/>
        </w:tcPr>
        <w:p w:rsidR="00E43228" w:rsidRPr="00F75E05" w:rsidRDefault="00D2342C" w:rsidP="00AA1E3A">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bookmarkStart w:id="0" w:name="_GoBack"/>
          <w:bookmarkEnd w:id="0"/>
        </w:p>
      </w:tc>
    </w:tr>
    <w:tr w:rsidR="00546ACE" w:rsidRPr="004B60A7" w:rsidTr="00305B43">
      <w:trPr>
        <w:trHeight w:val="292"/>
      </w:trPr>
      <w:tc>
        <w:tcPr>
          <w:tcW w:w="2425" w:type="dxa"/>
          <w:vMerge/>
          <w:shd w:val="clear" w:color="auto" w:fill="auto"/>
        </w:tcPr>
        <w:p w:rsidR="00546ACE" w:rsidRPr="00F9306E" w:rsidRDefault="00546ACE" w:rsidP="006A39CE">
          <w:pPr>
            <w:jc w:val="center"/>
            <w:rPr>
              <w:noProof/>
              <w:lang w:eastAsia="es-EC"/>
            </w:rPr>
          </w:pPr>
        </w:p>
      </w:tc>
      <w:tc>
        <w:tcPr>
          <w:tcW w:w="925" w:type="dxa"/>
          <w:vMerge/>
          <w:shd w:val="clear" w:color="auto" w:fill="auto"/>
        </w:tcPr>
        <w:p w:rsidR="00546ACE" w:rsidRPr="009329F8" w:rsidRDefault="00546ACE" w:rsidP="006A39CE">
          <w:pPr>
            <w:jc w:val="center"/>
            <w:rPr>
              <w:rFonts w:ascii="Century Gothic" w:hAnsi="Century Gothic"/>
              <w:b/>
              <w:sz w:val="16"/>
              <w:u w:val="single"/>
            </w:rPr>
          </w:pPr>
        </w:p>
      </w:tc>
      <w:tc>
        <w:tcPr>
          <w:tcW w:w="4096" w:type="dxa"/>
          <w:vAlign w:val="center"/>
        </w:tcPr>
        <w:p w:rsidR="00546ACE" w:rsidRPr="009329F8" w:rsidRDefault="00546ACE" w:rsidP="004919A3">
          <w:pPr>
            <w:tabs>
              <w:tab w:val="right" w:pos="2253"/>
            </w:tabs>
            <w:spacing w:before="120"/>
            <w:rPr>
              <w:rFonts w:ascii="Century Gothic" w:hAnsi="Century Gothic"/>
              <w:b/>
              <w:sz w:val="16"/>
            </w:rPr>
          </w:pPr>
          <w:r w:rsidRPr="009329F8">
            <w:rPr>
              <w:rFonts w:ascii="Century Gothic" w:hAnsi="Century Gothic"/>
              <w:b/>
              <w:sz w:val="16"/>
            </w:rPr>
            <w:t>SECTOR INSTITUCIONAL:</w:t>
          </w:r>
          <w:r w:rsidRPr="009329F8">
            <w:rPr>
              <w:rFonts w:ascii="Century Gothic" w:hAnsi="Century Gothic"/>
              <w:sz w:val="16"/>
            </w:rPr>
            <w:t xml:space="preserve"> S1</w:t>
          </w:r>
          <w:r>
            <w:rPr>
              <w:rFonts w:ascii="Century Gothic" w:hAnsi="Century Gothic"/>
              <w:sz w:val="16"/>
            </w:rPr>
            <w:t>3 Gobierno General</w:t>
          </w:r>
          <w:r w:rsidRPr="009329F8">
            <w:rPr>
              <w:rFonts w:ascii="Century Gothic" w:hAnsi="Century Gothic"/>
              <w:b/>
              <w:sz w:val="16"/>
            </w:rPr>
            <w:t xml:space="preserve"> Nivel 2:</w:t>
          </w:r>
        </w:p>
        <w:p w:rsidR="00546ACE" w:rsidRPr="009329F8" w:rsidRDefault="00546ACE" w:rsidP="004919A3">
          <w:pPr>
            <w:tabs>
              <w:tab w:val="right" w:pos="2253"/>
            </w:tabs>
            <w:rPr>
              <w:rFonts w:ascii="Century Gothic" w:hAnsi="Century Gothic"/>
              <w:b/>
              <w:sz w:val="16"/>
            </w:rPr>
          </w:pPr>
          <w:r w:rsidRPr="009329F8">
            <w:rPr>
              <w:rFonts w:ascii="Century Gothic" w:hAnsi="Century Gothic"/>
              <w:b/>
              <w:sz w:val="16"/>
            </w:rPr>
            <w:t>Nivel 3.</w:t>
          </w:r>
        </w:p>
        <w:p w:rsidR="00546ACE" w:rsidRPr="00267373" w:rsidRDefault="00546ACE" w:rsidP="004919A3">
          <w:pPr>
            <w:tabs>
              <w:tab w:val="right" w:pos="2253"/>
            </w:tabs>
            <w:rPr>
              <w:rFonts w:ascii="Century Gothic" w:hAnsi="Century Gothic"/>
              <w:sz w:val="16"/>
            </w:rPr>
          </w:pPr>
          <w:r w:rsidRPr="009329F8">
            <w:rPr>
              <w:rFonts w:ascii="Century Gothic" w:hAnsi="Century Gothic"/>
              <w:b/>
              <w:sz w:val="16"/>
            </w:rPr>
            <w:t>Nivel 4</w:t>
          </w:r>
          <w:r>
            <w:rPr>
              <w:rFonts w:ascii="Century Gothic" w:hAnsi="Century Gothic"/>
              <w:b/>
              <w:sz w:val="16"/>
            </w:rPr>
            <w:t>.</w:t>
          </w:r>
          <w:r>
            <w:rPr>
              <w:rFonts w:ascii="Century Gothic" w:hAnsi="Century Gothic"/>
              <w:sz w:val="16"/>
            </w:rPr>
            <w:t>Fondo de la Seguridad Social</w:t>
          </w:r>
        </w:p>
        <w:p w:rsidR="00546ACE" w:rsidRPr="009329F8" w:rsidRDefault="00546ACE" w:rsidP="004919A3">
          <w:pPr>
            <w:tabs>
              <w:tab w:val="right" w:pos="2253"/>
            </w:tabs>
            <w:spacing w:after="120"/>
            <w:rPr>
              <w:rFonts w:ascii="Century Gothic" w:hAnsi="Century Gothic"/>
              <w:sz w:val="16"/>
            </w:rPr>
          </w:pPr>
          <w:r w:rsidRPr="009329F8">
            <w:rPr>
              <w:rFonts w:ascii="Century Gothic" w:hAnsi="Century Gothic"/>
              <w:b/>
              <w:sz w:val="16"/>
            </w:rPr>
            <w:t>Nivel 5</w:t>
          </w:r>
          <w:r>
            <w:rPr>
              <w:rFonts w:ascii="Century Gothic" w:hAnsi="Century Gothic"/>
              <w:b/>
              <w:sz w:val="16"/>
            </w:rPr>
            <w:t>.</w:t>
          </w:r>
          <w:r w:rsidRPr="009329F8">
            <w:rPr>
              <w:rFonts w:ascii="Century Gothic" w:hAnsi="Century Gothic"/>
              <w:b/>
              <w:sz w:val="16"/>
            </w:rPr>
            <w:t xml:space="preserve"> </w:t>
          </w:r>
          <w:r w:rsidRPr="001760C9">
            <w:rPr>
              <w:rFonts w:ascii="Century Gothic" w:hAnsi="Century Gothic"/>
              <w:sz w:val="16"/>
            </w:rPr>
            <w:t>Seguro general de salud individual y familiar-rectoría</w:t>
          </w:r>
        </w:p>
      </w:tc>
      <w:tc>
        <w:tcPr>
          <w:tcW w:w="1609" w:type="dxa"/>
          <w:shd w:val="clear" w:color="auto" w:fill="auto"/>
          <w:vAlign w:val="center"/>
        </w:tcPr>
        <w:p w:rsidR="00546ACE" w:rsidRPr="00F75E05" w:rsidRDefault="00546ACE" w:rsidP="0099143B">
          <w:pPr>
            <w:tabs>
              <w:tab w:val="right" w:pos="2253"/>
            </w:tabs>
            <w:rPr>
              <w:rFonts w:ascii="Century Gothic" w:hAnsi="Century Gothic"/>
              <w:sz w:val="16"/>
              <w:highlight w:val="yellow"/>
            </w:rPr>
          </w:pPr>
        </w:p>
      </w:tc>
    </w:tr>
    <w:tr w:rsidR="00307B2E" w:rsidRPr="004B60A7" w:rsidTr="00305B43">
      <w:trPr>
        <w:trHeight w:val="296"/>
      </w:trPr>
      <w:tc>
        <w:tcPr>
          <w:tcW w:w="2425" w:type="dxa"/>
          <w:vMerge/>
          <w:shd w:val="clear" w:color="auto" w:fill="auto"/>
        </w:tcPr>
        <w:p w:rsidR="00307B2E" w:rsidRPr="00F9306E" w:rsidRDefault="00307B2E" w:rsidP="006A39CE">
          <w:pPr>
            <w:jc w:val="center"/>
            <w:rPr>
              <w:noProof/>
              <w:lang w:eastAsia="es-EC"/>
            </w:rPr>
          </w:pPr>
        </w:p>
      </w:tc>
      <w:tc>
        <w:tcPr>
          <w:tcW w:w="925" w:type="dxa"/>
          <w:vMerge/>
          <w:shd w:val="clear" w:color="auto" w:fill="auto"/>
        </w:tcPr>
        <w:p w:rsidR="00307B2E" w:rsidRPr="009329F8" w:rsidRDefault="00307B2E" w:rsidP="006A39CE">
          <w:pPr>
            <w:jc w:val="center"/>
            <w:rPr>
              <w:rFonts w:ascii="Century Gothic" w:hAnsi="Century Gothic"/>
              <w:b/>
              <w:sz w:val="16"/>
              <w:u w:val="single"/>
            </w:rPr>
          </w:pPr>
        </w:p>
      </w:tc>
      <w:tc>
        <w:tcPr>
          <w:tcW w:w="4096"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09" w:type="dxa"/>
          <w:shd w:val="clear" w:color="auto" w:fill="auto"/>
          <w:vAlign w:val="center"/>
        </w:tcPr>
        <w:p w:rsidR="00307B2E" w:rsidRPr="00D74A47" w:rsidRDefault="00307B2E" w:rsidP="002B5759">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AA1E3A">
            <w:rPr>
              <w:rFonts w:ascii="Century Gothic" w:hAnsi="Century Gothic"/>
              <w:noProof/>
              <w:sz w:val="16"/>
            </w:rPr>
            <w:t>1</w:t>
          </w:r>
          <w:r w:rsidRPr="00662EE0">
            <w:rPr>
              <w:rFonts w:ascii="Century Gothic" w:hAnsi="Century Gothic"/>
              <w:sz w:val="16"/>
            </w:rPr>
            <w:fldChar w:fldCharType="end"/>
          </w:r>
          <w:r w:rsidR="006C10D8">
            <w:rPr>
              <w:rFonts w:ascii="Century Gothic" w:hAnsi="Century Gothic"/>
              <w:sz w:val="16"/>
            </w:rPr>
            <w:t xml:space="preserve"> de 12</w:t>
          </w:r>
        </w:p>
      </w:tc>
    </w:tr>
  </w:tbl>
  <w:p w:rsidR="001E61E6" w:rsidRPr="007D52DD" w:rsidRDefault="001E61E6">
    <w:pPr>
      <w:pStyle w:val="Encabezado"/>
      <w:rPr>
        <w:lang w:val="es-E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E3A" w:rsidRDefault="00AA1E3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3D53EA1"/>
    <w:multiLevelType w:val="hybridMultilevel"/>
    <w:tmpl w:val="F0662AC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4"/>
  </w:num>
  <w:num w:numId="6">
    <w:abstractNumId w:val="16"/>
  </w:num>
  <w:num w:numId="7">
    <w:abstractNumId w:val="1"/>
  </w:num>
  <w:num w:numId="8">
    <w:abstractNumId w:val="4"/>
  </w:num>
  <w:num w:numId="9">
    <w:abstractNumId w:val="2"/>
  </w:num>
  <w:num w:numId="10">
    <w:abstractNumId w:val="5"/>
  </w:num>
  <w:num w:numId="11">
    <w:abstractNumId w:val="12"/>
  </w:num>
  <w:num w:numId="12">
    <w:abstractNumId w:val="17"/>
  </w:num>
  <w:num w:numId="13">
    <w:abstractNumId w:val="7"/>
  </w:num>
  <w:num w:numId="14">
    <w:abstractNumId w:val="3"/>
  </w:num>
  <w:num w:numId="15">
    <w:abstractNumId w:val="8"/>
  </w:num>
  <w:num w:numId="16">
    <w:abstractNumId w:val="9"/>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33A7C"/>
    <w:rsid w:val="0005695C"/>
    <w:rsid w:val="00060B02"/>
    <w:rsid w:val="000742D5"/>
    <w:rsid w:val="00080CCB"/>
    <w:rsid w:val="0008424A"/>
    <w:rsid w:val="00092BBF"/>
    <w:rsid w:val="000966EA"/>
    <w:rsid w:val="000A1DBE"/>
    <w:rsid w:val="000A5B0A"/>
    <w:rsid w:val="000B3A7F"/>
    <w:rsid w:val="000B50E0"/>
    <w:rsid w:val="000C01D1"/>
    <w:rsid w:val="000E52CE"/>
    <w:rsid w:val="000E5BF3"/>
    <w:rsid w:val="000E7348"/>
    <w:rsid w:val="000F7D81"/>
    <w:rsid w:val="00106810"/>
    <w:rsid w:val="001149C7"/>
    <w:rsid w:val="0011624F"/>
    <w:rsid w:val="00126B61"/>
    <w:rsid w:val="00143242"/>
    <w:rsid w:val="00147221"/>
    <w:rsid w:val="00175F15"/>
    <w:rsid w:val="0018477A"/>
    <w:rsid w:val="001A5BE5"/>
    <w:rsid w:val="001C1D16"/>
    <w:rsid w:val="001C2F4E"/>
    <w:rsid w:val="001D1B9D"/>
    <w:rsid w:val="001E61E6"/>
    <w:rsid w:val="001E7447"/>
    <w:rsid w:val="0021055D"/>
    <w:rsid w:val="00220C0B"/>
    <w:rsid w:val="00231304"/>
    <w:rsid w:val="00234BF0"/>
    <w:rsid w:val="002407A4"/>
    <w:rsid w:val="002520C1"/>
    <w:rsid w:val="002521D1"/>
    <w:rsid w:val="0025612F"/>
    <w:rsid w:val="00260679"/>
    <w:rsid w:val="00280C9F"/>
    <w:rsid w:val="00282270"/>
    <w:rsid w:val="0029094C"/>
    <w:rsid w:val="002B5759"/>
    <w:rsid w:val="002C328A"/>
    <w:rsid w:val="002D01DF"/>
    <w:rsid w:val="002D1F57"/>
    <w:rsid w:val="002D4F74"/>
    <w:rsid w:val="002F0304"/>
    <w:rsid w:val="003007DB"/>
    <w:rsid w:val="00304C1A"/>
    <w:rsid w:val="00305B43"/>
    <w:rsid w:val="00307B2E"/>
    <w:rsid w:val="00307DBD"/>
    <w:rsid w:val="0031355D"/>
    <w:rsid w:val="003158AE"/>
    <w:rsid w:val="003172DD"/>
    <w:rsid w:val="0032294E"/>
    <w:rsid w:val="00326AF7"/>
    <w:rsid w:val="0033324C"/>
    <w:rsid w:val="00334F26"/>
    <w:rsid w:val="0034018B"/>
    <w:rsid w:val="003749C8"/>
    <w:rsid w:val="003759E7"/>
    <w:rsid w:val="00381919"/>
    <w:rsid w:val="00383E83"/>
    <w:rsid w:val="00390A3A"/>
    <w:rsid w:val="00397EF7"/>
    <w:rsid w:val="003A3092"/>
    <w:rsid w:val="003C2F4C"/>
    <w:rsid w:val="003D5B36"/>
    <w:rsid w:val="004045C8"/>
    <w:rsid w:val="00410A0A"/>
    <w:rsid w:val="00420C88"/>
    <w:rsid w:val="0043045D"/>
    <w:rsid w:val="0043464C"/>
    <w:rsid w:val="00435C50"/>
    <w:rsid w:val="00454593"/>
    <w:rsid w:val="00455041"/>
    <w:rsid w:val="00463DEB"/>
    <w:rsid w:val="004724C7"/>
    <w:rsid w:val="00474BB1"/>
    <w:rsid w:val="004759AF"/>
    <w:rsid w:val="00482260"/>
    <w:rsid w:val="00482714"/>
    <w:rsid w:val="0048473D"/>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12183"/>
    <w:rsid w:val="00517F5E"/>
    <w:rsid w:val="0052601B"/>
    <w:rsid w:val="00536739"/>
    <w:rsid w:val="00546ACE"/>
    <w:rsid w:val="00552DBA"/>
    <w:rsid w:val="0056330D"/>
    <w:rsid w:val="00566D13"/>
    <w:rsid w:val="005804C1"/>
    <w:rsid w:val="0059078C"/>
    <w:rsid w:val="00594B3C"/>
    <w:rsid w:val="005A0489"/>
    <w:rsid w:val="005B1B02"/>
    <w:rsid w:val="005C3B2F"/>
    <w:rsid w:val="005C7E91"/>
    <w:rsid w:val="005D1462"/>
    <w:rsid w:val="005E3C40"/>
    <w:rsid w:val="005F236D"/>
    <w:rsid w:val="005F52C7"/>
    <w:rsid w:val="00613189"/>
    <w:rsid w:val="00617CF3"/>
    <w:rsid w:val="00627F54"/>
    <w:rsid w:val="006379DF"/>
    <w:rsid w:val="00640E99"/>
    <w:rsid w:val="0064134D"/>
    <w:rsid w:val="00662EE0"/>
    <w:rsid w:val="00675E9A"/>
    <w:rsid w:val="006A0385"/>
    <w:rsid w:val="006A39CE"/>
    <w:rsid w:val="006A7E9A"/>
    <w:rsid w:val="006C10D8"/>
    <w:rsid w:val="006C380F"/>
    <w:rsid w:val="006C6235"/>
    <w:rsid w:val="006E11AE"/>
    <w:rsid w:val="006E4721"/>
    <w:rsid w:val="006F3C76"/>
    <w:rsid w:val="00710B5F"/>
    <w:rsid w:val="007132C2"/>
    <w:rsid w:val="00730FBF"/>
    <w:rsid w:val="007415AB"/>
    <w:rsid w:val="00746C3F"/>
    <w:rsid w:val="00747426"/>
    <w:rsid w:val="00757B9E"/>
    <w:rsid w:val="00765141"/>
    <w:rsid w:val="00792D00"/>
    <w:rsid w:val="007979B3"/>
    <w:rsid w:val="007A15C7"/>
    <w:rsid w:val="007C0272"/>
    <w:rsid w:val="007D0231"/>
    <w:rsid w:val="007D05E6"/>
    <w:rsid w:val="007D52DD"/>
    <w:rsid w:val="007E7852"/>
    <w:rsid w:val="007E7C6D"/>
    <w:rsid w:val="008020C1"/>
    <w:rsid w:val="0080228D"/>
    <w:rsid w:val="00810A61"/>
    <w:rsid w:val="00811A80"/>
    <w:rsid w:val="008125A1"/>
    <w:rsid w:val="00815427"/>
    <w:rsid w:val="00845F7D"/>
    <w:rsid w:val="008511E9"/>
    <w:rsid w:val="00865EB3"/>
    <w:rsid w:val="008670EE"/>
    <w:rsid w:val="008A157A"/>
    <w:rsid w:val="008C48AE"/>
    <w:rsid w:val="008D4B7D"/>
    <w:rsid w:val="008D5409"/>
    <w:rsid w:val="008D793A"/>
    <w:rsid w:val="008E16C4"/>
    <w:rsid w:val="008F3734"/>
    <w:rsid w:val="009036BF"/>
    <w:rsid w:val="00906FC9"/>
    <w:rsid w:val="009239C0"/>
    <w:rsid w:val="00931D04"/>
    <w:rsid w:val="009329F8"/>
    <w:rsid w:val="00935CAD"/>
    <w:rsid w:val="009367A6"/>
    <w:rsid w:val="00950549"/>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D569B"/>
    <w:rsid w:val="009E1C68"/>
    <w:rsid w:val="009F47E1"/>
    <w:rsid w:val="00A228EE"/>
    <w:rsid w:val="00A42298"/>
    <w:rsid w:val="00A47768"/>
    <w:rsid w:val="00A53142"/>
    <w:rsid w:val="00A74FDC"/>
    <w:rsid w:val="00A815F6"/>
    <w:rsid w:val="00A87C60"/>
    <w:rsid w:val="00A91DF0"/>
    <w:rsid w:val="00A94DA6"/>
    <w:rsid w:val="00AA1E3A"/>
    <w:rsid w:val="00AB1C70"/>
    <w:rsid w:val="00AC49A3"/>
    <w:rsid w:val="00AC7899"/>
    <w:rsid w:val="00AD5299"/>
    <w:rsid w:val="00AF088F"/>
    <w:rsid w:val="00AF1749"/>
    <w:rsid w:val="00AF22B1"/>
    <w:rsid w:val="00AF3335"/>
    <w:rsid w:val="00B02350"/>
    <w:rsid w:val="00B07A11"/>
    <w:rsid w:val="00B103A4"/>
    <w:rsid w:val="00B146DB"/>
    <w:rsid w:val="00B17DA5"/>
    <w:rsid w:val="00B467E5"/>
    <w:rsid w:val="00B46ADF"/>
    <w:rsid w:val="00B56717"/>
    <w:rsid w:val="00B75560"/>
    <w:rsid w:val="00BA04B9"/>
    <w:rsid w:val="00BA7907"/>
    <w:rsid w:val="00BB0EEC"/>
    <w:rsid w:val="00BB4335"/>
    <w:rsid w:val="00BB4705"/>
    <w:rsid w:val="00BB5585"/>
    <w:rsid w:val="00BC0686"/>
    <w:rsid w:val="00BD3421"/>
    <w:rsid w:val="00BE0FAE"/>
    <w:rsid w:val="00BE38BC"/>
    <w:rsid w:val="00BF786C"/>
    <w:rsid w:val="00C17FA6"/>
    <w:rsid w:val="00C25FEC"/>
    <w:rsid w:val="00C323E0"/>
    <w:rsid w:val="00C332B3"/>
    <w:rsid w:val="00C37654"/>
    <w:rsid w:val="00C37F28"/>
    <w:rsid w:val="00C47A1F"/>
    <w:rsid w:val="00C55373"/>
    <w:rsid w:val="00C60AC8"/>
    <w:rsid w:val="00C62662"/>
    <w:rsid w:val="00C640EC"/>
    <w:rsid w:val="00C72478"/>
    <w:rsid w:val="00C769E6"/>
    <w:rsid w:val="00C80DB2"/>
    <w:rsid w:val="00CA02BF"/>
    <w:rsid w:val="00CA0B07"/>
    <w:rsid w:val="00CA6AC4"/>
    <w:rsid w:val="00CC1DA9"/>
    <w:rsid w:val="00CE0885"/>
    <w:rsid w:val="00CF3514"/>
    <w:rsid w:val="00CF3AED"/>
    <w:rsid w:val="00D01F56"/>
    <w:rsid w:val="00D0251C"/>
    <w:rsid w:val="00D076DC"/>
    <w:rsid w:val="00D107FD"/>
    <w:rsid w:val="00D1396F"/>
    <w:rsid w:val="00D21358"/>
    <w:rsid w:val="00D232EC"/>
    <w:rsid w:val="00D2342C"/>
    <w:rsid w:val="00D27611"/>
    <w:rsid w:val="00D423CB"/>
    <w:rsid w:val="00D44900"/>
    <w:rsid w:val="00D45ED9"/>
    <w:rsid w:val="00D51F26"/>
    <w:rsid w:val="00D53653"/>
    <w:rsid w:val="00D7232B"/>
    <w:rsid w:val="00D81074"/>
    <w:rsid w:val="00D914BC"/>
    <w:rsid w:val="00D96841"/>
    <w:rsid w:val="00DA2882"/>
    <w:rsid w:val="00DB4EF4"/>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7032"/>
    <w:rsid w:val="00E43228"/>
    <w:rsid w:val="00E618AF"/>
    <w:rsid w:val="00E6522F"/>
    <w:rsid w:val="00E67789"/>
    <w:rsid w:val="00E946C1"/>
    <w:rsid w:val="00E97D08"/>
    <w:rsid w:val="00EA1C13"/>
    <w:rsid w:val="00EA4FAC"/>
    <w:rsid w:val="00EC19FB"/>
    <w:rsid w:val="00EC1EA9"/>
    <w:rsid w:val="00EC2629"/>
    <w:rsid w:val="00EC6B26"/>
    <w:rsid w:val="00ED1F22"/>
    <w:rsid w:val="00ED41DB"/>
    <w:rsid w:val="00F35F13"/>
    <w:rsid w:val="00F41B6C"/>
    <w:rsid w:val="00F41C1B"/>
    <w:rsid w:val="00F41ED6"/>
    <w:rsid w:val="00F544E3"/>
    <w:rsid w:val="00F65A2D"/>
    <w:rsid w:val="00F74952"/>
    <w:rsid w:val="00F759F2"/>
    <w:rsid w:val="00F75E05"/>
    <w:rsid w:val="00F75E8E"/>
    <w:rsid w:val="00F803F1"/>
    <w:rsid w:val="00F805E8"/>
    <w:rsid w:val="00F979E6"/>
    <w:rsid w:val="00FB1226"/>
    <w:rsid w:val="00FB62F8"/>
    <w:rsid w:val="00FD5DE1"/>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25812083">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1928660158">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D40EA-0CA2-4005-8495-4A2C65E5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12</Pages>
  <Words>2374</Words>
  <Characters>13060</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159</cp:revision>
  <cp:lastPrinted>2015-11-13T17:57:00Z</cp:lastPrinted>
  <dcterms:created xsi:type="dcterms:W3CDTF">2015-11-15T10:18:00Z</dcterms:created>
  <dcterms:modified xsi:type="dcterms:W3CDTF">2015-12-01T17:11:00Z</dcterms:modified>
</cp:coreProperties>
</file>